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D3" w:rsidRDefault="00E234D3" w:rsidP="00E234D3">
      <w:pPr>
        <w:jc w:val="center"/>
        <w:rPr>
          <w:rFonts w:ascii="Arial Narrow" w:hAnsi="Arial Narrow" w:cs="Arial"/>
          <w:b/>
          <w:sz w:val="22"/>
          <w:szCs w:val="22"/>
        </w:rPr>
      </w:pPr>
      <w:r w:rsidRPr="00DD2F9B">
        <w:rPr>
          <w:rFonts w:ascii="Arial Narrow" w:hAnsi="Arial Narrow" w:cs="Arial"/>
          <w:b/>
          <w:sz w:val="22"/>
          <w:szCs w:val="22"/>
        </w:rPr>
        <w:t xml:space="preserve">SEANCE DU </w:t>
      </w:r>
      <w:r w:rsidR="007A50D9">
        <w:rPr>
          <w:rFonts w:ascii="Arial Narrow" w:hAnsi="Arial Narrow" w:cs="Arial"/>
          <w:b/>
          <w:sz w:val="22"/>
          <w:szCs w:val="22"/>
        </w:rPr>
        <w:t>4 AVRIL</w:t>
      </w:r>
      <w:r w:rsidR="00C20D08" w:rsidRPr="00DD2F9B">
        <w:rPr>
          <w:rFonts w:ascii="Arial Narrow" w:hAnsi="Arial Narrow" w:cs="Arial"/>
          <w:b/>
          <w:sz w:val="22"/>
          <w:szCs w:val="22"/>
        </w:rPr>
        <w:t xml:space="preserve"> </w:t>
      </w:r>
      <w:r w:rsidR="00A2586A">
        <w:rPr>
          <w:rFonts w:ascii="Arial Narrow" w:hAnsi="Arial Narrow" w:cs="Arial"/>
          <w:b/>
          <w:sz w:val="22"/>
          <w:szCs w:val="22"/>
        </w:rPr>
        <w:t>2019</w:t>
      </w:r>
    </w:p>
    <w:p w:rsidR="00390235" w:rsidRPr="00DD2F9B" w:rsidRDefault="00390235" w:rsidP="00E234D3">
      <w:pPr>
        <w:jc w:val="center"/>
        <w:rPr>
          <w:rFonts w:ascii="Arial Narrow" w:hAnsi="Arial Narrow" w:cs="Arial"/>
          <w:b/>
          <w:sz w:val="22"/>
          <w:szCs w:val="22"/>
        </w:rPr>
      </w:pPr>
      <w:bookmarkStart w:id="0" w:name="_GoBack"/>
      <w:bookmarkEnd w:id="0"/>
    </w:p>
    <w:tbl>
      <w:tblPr>
        <w:tblW w:w="9540" w:type="dxa"/>
        <w:tblCellMar>
          <w:left w:w="70" w:type="dxa"/>
          <w:right w:w="70" w:type="dxa"/>
        </w:tblCellMar>
        <w:tblLook w:val="04A0" w:firstRow="1" w:lastRow="0" w:firstColumn="1" w:lastColumn="0" w:noHBand="0" w:noVBand="1"/>
      </w:tblPr>
      <w:tblGrid>
        <w:gridCol w:w="3832"/>
        <w:gridCol w:w="3348"/>
        <w:gridCol w:w="2360"/>
      </w:tblGrid>
      <w:tr w:rsidR="00390235" w:rsidTr="00390235">
        <w:trPr>
          <w:trHeight w:val="227"/>
        </w:trPr>
        <w:tc>
          <w:tcPr>
            <w:tcW w:w="7180"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390235" w:rsidRDefault="00390235">
            <w:pPr>
              <w:jc w:val="center"/>
              <w:rPr>
                <w:rFonts w:ascii="Arial Narrow" w:eastAsia="Times New Roman" w:hAnsi="Arial Narrow"/>
                <w:color w:val="000000"/>
                <w:sz w:val="18"/>
                <w:szCs w:val="18"/>
                <w:lang w:eastAsia="fr-FR"/>
              </w:rPr>
            </w:pPr>
            <w:r>
              <w:rPr>
                <w:rFonts w:ascii="Arial Narrow" w:eastAsia="Times New Roman" w:hAnsi="Arial Narrow"/>
                <w:color w:val="000000"/>
                <w:sz w:val="18"/>
                <w:szCs w:val="18"/>
                <w:lang w:eastAsia="fr-FR"/>
              </w:rPr>
              <w:t xml:space="preserve">Titulaires présents </w:t>
            </w:r>
          </w:p>
        </w:tc>
        <w:tc>
          <w:tcPr>
            <w:tcW w:w="2360" w:type="dxa"/>
            <w:tcBorders>
              <w:top w:val="single" w:sz="4" w:space="0" w:color="auto"/>
              <w:left w:val="nil"/>
              <w:bottom w:val="single" w:sz="4" w:space="0" w:color="auto"/>
              <w:right w:val="single" w:sz="4" w:space="0" w:color="auto"/>
            </w:tcBorders>
            <w:shd w:val="clear" w:color="auto" w:fill="EEECE1"/>
            <w:noWrap/>
            <w:vAlign w:val="center"/>
            <w:hideMark/>
          </w:tcPr>
          <w:p w:rsidR="00390235" w:rsidRDefault="00390235">
            <w:pPr>
              <w:jc w:val="center"/>
              <w:rPr>
                <w:rFonts w:ascii="Arial Narrow" w:eastAsia="Times New Roman" w:hAnsi="Arial Narrow"/>
                <w:color w:val="000000"/>
                <w:sz w:val="18"/>
                <w:szCs w:val="18"/>
                <w:lang w:eastAsia="fr-FR"/>
              </w:rPr>
            </w:pPr>
            <w:r>
              <w:rPr>
                <w:rFonts w:ascii="Arial Narrow" w:eastAsia="Times New Roman" w:hAnsi="Arial Narrow"/>
                <w:color w:val="000000"/>
                <w:sz w:val="18"/>
                <w:szCs w:val="18"/>
                <w:lang w:eastAsia="fr-FR"/>
              </w:rPr>
              <w:t xml:space="preserve">Excusés </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BAUDRY Paul</w:t>
            </w:r>
          </w:p>
        </w:tc>
        <w:tc>
          <w:tcPr>
            <w:tcW w:w="3348" w:type="dxa"/>
            <w:noWrap/>
            <w:vAlign w:val="bottom"/>
            <w:hideMark/>
          </w:tcPr>
          <w:p w:rsidR="00390235" w:rsidRDefault="00390235">
            <w:pPr>
              <w:rPr>
                <w:rFonts w:ascii="Arial Narrow" w:eastAsia="Times New Roman" w:hAnsi="Arial Narrow"/>
                <w:sz w:val="18"/>
                <w:szCs w:val="18"/>
                <w:lang w:eastAsia="fr-FR"/>
              </w:rPr>
            </w:pPr>
            <w:r>
              <w:rPr>
                <w:rFonts w:ascii="Arial Narrow" w:eastAsia="Times New Roman" w:hAnsi="Arial Narrow"/>
                <w:sz w:val="18"/>
                <w:szCs w:val="18"/>
                <w:lang w:eastAsia="fr-FR"/>
              </w:rPr>
              <w:t>HAYE Ghislaine</w:t>
            </w:r>
          </w:p>
        </w:tc>
        <w:tc>
          <w:tcPr>
            <w:tcW w:w="2360"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ALZURI Emmanuel</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BISAUTA Martine</w:t>
            </w:r>
          </w:p>
        </w:tc>
        <w:tc>
          <w:tcPr>
            <w:tcW w:w="3348" w:type="dxa"/>
            <w:tcBorders>
              <w:top w:val="single" w:sz="4" w:space="0" w:color="auto"/>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 xml:space="preserve">HIRIART-URRUTY </w:t>
            </w:r>
            <w:proofErr w:type="spellStart"/>
            <w:r>
              <w:rPr>
                <w:rFonts w:ascii="Arial Narrow" w:eastAsia="Times New Roman" w:hAnsi="Arial Narrow"/>
                <w:sz w:val="18"/>
                <w:szCs w:val="18"/>
                <w:lang w:eastAsia="fr-FR"/>
              </w:rPr>
              <w:t>Argitxu</w:t>
            </w:r>
            <w:proofErr w:type="spellEnd"/>
          </w:p>
        </w:tc>
        <w:tc>
          <w:tcPr>
            <w:tcW w:w="2360"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CARPENTIER Vincent</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BONNAMY Eric</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HOURCADE Robert</w:t>
            </w:r>
          </w:p>
        </w:tc>
        <w:tc>
          <w:tcPr>
            <w:tcW w:w="2360"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FOURNIER Jean-Louis</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CACHENAUT Bernard</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JUHEL Laurent (jusqu'au rapport n°10 inclus)</w:t>
            </w:r>
          </w:p>
        </w:tc>
        <w:tc>
          <w:tcPr>
            <w:tcW w:w="2360"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IBARLUCIA Michel</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CARASCO Olivier</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KEHRIG COTTENÇON Chantal</w:t>
            </w:r>
          </w:p>
        </w:tc>
        <w:tc>
          <w:tcPr>
            <w:tcW w:w="2360" w:type="dxa"/>
            <w:tcBorders>
              <w:top w:val="nil"/>
              <w:left w:val="nil"/>
              <w:bottom w:val="single" w:sz="4" w:space="0" w:color="auto"/>
              <w:right w:val="single" w:sz="4" w:space="0" w:color="auto"/>
            </w:tcBorders>
            <w:noWrap/>
            <w:vAlign w:val="bottom"/>
            <w:hideMark/>
          </w:tcPr>
          <w:p w:rsidR="00390235" w:rsidRDefault="00390235">
            <w:pPr>
              <w:rPr>
                <w:rFonts w:ascii="Arial Narrow" w:eastAsia="Times New Roman" w:hAnsi="Arial Narrow"/>
                <w:sz w:val="18"/>
                <w:szCs w:val="18"/>
                <w:lang w:eastAsia="fr-FR"/>
              </w:rPr>
            </w:pPr>
            <w:r>
              <w:rPr>
                <w:rFonts w:ascii="Arial Narrow" w:eastAsia="Times New Roman" w:hAnsi="Arial Narrow"/>
                <w:sz w:val="18"/>
                <w:szCs w:val="18"/>
                <w:lang w:eastAsia="fr-FR"/>
              </w:rPr>
              <w:t>IRIGOYEN Jean-François</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CHARRON Martine</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color w:val="000000"/>
                <w:sz w:val="18"/>
                <w:szCs w:val="18"/>
                <w:lang w:eastAsia="fr-FR"/>
              </w:rPr>
            </w:pPr>
            <w:r>
              <w:rPr>
                <w:rFonts w:ascii="Arial Narrow" w:eastAsia="Times New Roman" w:hAnsi="Arial Narrow"/>
                <w:color w:val="000000"/>
                <w:sz w:val="18"/>
                <w:szCs w:val="18"/>
                <w:lang w:eastAsia="fr-FR"/>
              </w:rPr>
              <w:t>LESPADE Jean-Marc</w:t>
            </w:r>
          </w:p>
        </w:tc>
        <w:tc>
          <w:tcPr>
            <w:tcW w:w="2360"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LAFLAQUIERE Jean-Pierre</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DAGORRET François</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MENDIBURU Paul (jusqu'au rapport n°10 inclus)</w:t>
            </w:r>
          </w:p>
        </w:tc>
        <w:tc>
          <w:tcPr>
            <w:tcW w:w="2360"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LASSERRE-DAVID Florence</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DARRIBEROUGE Louis</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NOUSBAUM Pierre-Marie</w:t>
            </w:r>
          </w:p>
        </w:tc>
        <w:tc>
          <w:tcPr>
            <w:tcW w:w="2360"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NEYS Philippe</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 xml:space="preserve">ETCHEGARAY Jean-Pierre </w:t>
            </w:r>
          </w:p>
        </w:tc>
        <w:tc>
          <w:tcPr>
            <w:tcW w:w="3348" w:type="dxa"/>
            <w:tcBorders>
              <w:top w:val="nil"/>
              <w:left w:val="nil"/>
              <w:bottom w:val="nil"/>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OLIVE Claude</w:t>
            </w:r>
          </w:p>
        </w:tc>
        <w:tc>
          <w:tcPr>
            <w:tcW w:w="2360"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PONS Yves</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ETCHEGARAY Jean-René (jusqu'au rapport n°5 inclus)</w:t>
            </w:r>
          </w:p>
        </w:tc>
        <w:tc>
          <w:tcPr>
            <w:tcW w:w="3348" w:type="dxa"/>
            <w:tcBorders>
              <w:top w:val="single" w:sz="4" w:space="0" w:color="auto"/>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SALDUCCI Jean-Paul</w:t>
            </w:r>
          </w:p>
        </w:tc>
        <w:tc>
          <w:tcPr>
            <w:tcW w:w="2360"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VEUNAC Michel</w:t>
            </w: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bottom"/>
            <w:hideMark/>
          </w:tcPr>
          <w:p w:rsidR="00390235" w:rsidRDefault="00390235">
            <w:pPr>
              <w:rPr>
                <w:rFonts w:ascii="Arial Narrow" w:eastAsia="Times New Roman" w:hAnsi="Arial Narrow"/>
                <w:sz w:val="18"/>
                <w:szCs w:val="18"/>
                <w:lang w:eastAsia="fr-FR"/>
              </w:rPr>
            </w:pPr>
            <w:r>
              <w:rPr>
                <w:rFonts w:ascii="Arial Narrow" w:eastAsia="Times New Roman" w:hAnsi="Arial Narrow"/>
                <w:sz w:val="18"/>
                <w:szCs w:val="18"/>
                <w:lang w:eastAsia="fr-FR"/>
              </w:rPr>
              <w:t>FONTAINE Arnaud</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THEBAUD Marie-Ange</w:t>
            </w:r>
          </w:p>
        </w:tc>
        <w:tc>
          <w:tcPr>
            <w:tcW w:w="2360" w:type="dxa"/>
            <w:noWrap/>
            <w:vAlign w:val="bottom"/>
            <w:hideMark/>
          </w:tcPr>
          <w:p w:rsidR="00390235" w:rsidRDefault="00390235">
            <w:pPr>
              <w:rPr>
                <w:rFonts w:ascii="Arial Narrow" w:eastAsia="Times New Roman" w:hAnsi="Arial Narrow"/>
                <w:sz w:val="18"/>
                <w:szCs w:val="18"/>
                <w:lang w:eastAsia="fr-FR"/>
              </w:rPr>
            </w:pP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HACALA Germaine</w:t>
            </w:r>
          </w:p>
        </w:tc>
        <w:tc>
          <w:tcPr>
            <w:tcW w:w="3348" w:type="dxa"/>
            <w:tcBorders>
              <w:top w:val="nil"/>
              <w:left w:val="nil"/>
              <w:bottom w:val="single" w:sz="4" w:space="0" w:color="auto"/>
              <w:right w:val="single" w:sz="4" w:space="0" w:color="auto"/>
            </w:tcBorders>
            <w:noWrap/>
            <w:vAlign w:val="center"/>
          </w:tcPr>
          <w:p w:rsidR="00390235" w:rsidRDefault="00390235">
            <w:pPr>
              <w:jc w:val="both"/>
              <w:rPr>
                <w:rFonts w:ascii="Arial Narrow" w:eastAsia="Times New Roman" w:hAnsi="Arial Narrow"/>
                <w:sz w:val="18"/>
                <w:szCs w:val="18"/>
                <w:lang w:eastAsia="fr-FR"/>
              </w:rPr>
            </w:pPr>
          </w:p>
        </w:tc>
        <w:tc>
          <w:tcPr>
            <w:tcW w:w="2360" w:type="dxa"/>
            <w:noWrap/>
            <w:vAlign w:val="bottom"/>
            <w:hideMark/>
          </w:tcPr>
          <w:p w:rsidR="00390235" w:rsidRDefault="00390235">
            <w:pPr>
              <w:rPr>
                <w:rFonts w:ascii="Arial Narrow" w:eastAsia="Times New Roman" w:hAnsi="Arial Narrow"/>
                <w:sz w:val="18"/>
                <w:szCs w:val="18"/>
                <w:lang w:eastAsia="fr-FR"/>
              </w:rPr>
            </w:pPr>
          </w:p>
        </w:tc>
      </w:tr>
      <w:tr w:rsidR="00390235" w:rsidTr="00390235">
        <w:trPr>
          <w:trHeight w:val="227"/>
        </w:trPr>
        <w:tc>
          <w:tcPr>
            <w:tcW w:w="3832" w:type="dxa"/>
            <w:noWrap/>
            <w:vAlign w:val="center"/>
            <w:hideMark/>
          </w:tcPr>
          <w:p w:rsidR="00390235" w:rsidRDefault="00390235">
            <w:pPr>
              <w:rPr>
                <w:sz w:val="20"/>
                <w:szCs w:val="20"/>
                <w:lang w:eastAsia="fr-FR"/>
              </w:rPr>
            </w:pPr>
          </w:p>
        </w:tc>
        <w:tc>
          <w:tcPr>
            <w:tcW w:w="3348" w:type="dxa"/>
            <w:noWrap/>
            <w:vAlign w:val="bottom"/>
            <w:hideMark/>
          </w:tcPr>
          <w:p w:rsidR="00390235" w:rsidRDefault="00390235">
            <w:pPr>
              <w:rPr>
                <w:sz w:val="20"/>
                <w:szCs w:val="20"/>
                <w:lang w:eastAsia="fr-FR"/>
              </w:rPr>
            </w:pPr>
          </w:p>
        </w:tc>
        <w:tc>
          <w:tcPr>
            <w:tcW w:w="2360" w:type="dxa"/>
            <w:noWrap/>
            <w:vAlign w:val="bottom"/>
            <w:hideMark/>
          </w:tcPr>
          <w:p w:rsidR="00390235" w:rsidRDefault="00390235">
            <w:pPr>
              <w:rPr>
                <w:sz w:val="20"/>
                <w:szCs w:val="20"/>
                <w:lang w:eastAsia="fr-FR"/>
              </w:rPr>
            </w:pPr>
          </w:p>
        </w:tc>
      </w:tr>
      <w:tr w:rsidR="00390235" w:rsidTr="00390235">
        <w:trPr>
          <w:trHeight w:val="227"/>
        </w:trPr>
        <w:tc>
          <w:tcPr>
            <w:tcW w:w="3832" w:type="dxa"/>
            <w:noWrap/>
            <w:vAlign w:val="bottom"/>
            <w:hideMark/>
          </w:tcPr>
          <w:p w:rsidR="00390235" w:rsidRDefault="00390235">
            <w:pPr>
              <w:rPr>
                <w:rFonts w:ascii="Arial Narrow" w:eastAsia="Times New Roman" w:hAnsi="Arial Narrow"/>
                <w:color w:val="000000"/>
                <w:sz w:val="18"/>
                <w:szCs w:val="18"/>
                <w:lang w:eastAsia="fr-FR"/>
              </w:rPr>
            </w:pPr>
            <w:r>
              <w:rPr>
                <w:rFonts w:ascii="Arial Narrow" w:eastAsia="Times New Roman" w:hAnsi="Arial Narrow"/>
                <w:color w:val="000000"/>
                <w:sz w:val="18"/>
                <w:szCs w:val="18"/>
                <w:lang w:eastAsia="fr-FR"/>
              </w:rPr>
              <w:t>Procurations de titulaires excusés  à des titulaires</w:t>
            </w:r>
          </w:p>
        </w:tc>
        <w:tc>
          <w:tcPr>
            <w:tcW w:w="3348" w:type="dxa"/>
            <w:noWrap/>
            <w:vAlign w:val="bottom"/>
            <w:hideMark/>
          </w:tcPr>
          <w:p w:rsidR="00390235" w:rsidRDefault="00390235">
            <w:pPr>
              <w:rPr>
                <w:rFonts w:ascii="Arial Narrow" w:eastAsia="Times New Roman" w:hAnsi="Arial Narrow"/>
                <w:color w:val="000000"/>
                <w:sz w:val="18"/>
                <w:szCs w:val="18"/>
                <w:lang w:eastAsia="fr-FR"/>
              </w:rPr>
            </w:pPr>
          </w:p>
        </w:tc>
        <w:tc>
          <w:tcPr>
            <w:tcW w:w="2360" w:type="dxa"/>
            <w:noWrap/>
            <w:vAlign w:val="bottom"/>
            <w:hideMark/>
          </w:tcPr>
          <w:p w:rsidR="00390235" w:rsidRDefault="00390235">
            <w:pPr>
              <w:rPr>
                <w:sz w:val="20"/>
                <w:szCs w:val="20"/>
                <w:lang w:eastAsia="fr-FR"/>
              </w:rPr>
            </w:pPr>
          </w:p>
        </w:tc>
      </w:tr>
      <w:tr w:rsidR="00390235" w:rsidTr="00390235">
        <w:trPr>
          <w:trHeight w:val="227"/>
        </w:trPr>
        <w:tc>
          <w:tcPr>
            <w:tcW w:w="3832"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390235" w:rsidRDefault="00390235">
            <w:pPr>
              <w:rPr>
                <w:rFonts w:ascii="Arial Narrow" w:eastAsia="Times New Roman" w:hAnsi="Arial Narrow"/>
                <w:color w:val="000000"/>
                <w:sz w:val="18"/>
                <w:szCs w:val="18"/>
                <w:lang w:eastAsia="fr-FR"/>
              </w:rPr>
            </w:pPr>
            <w:r>
              <w:rPr>
                <w:rFonts w:ascii="Arial Narrow" w:eastAsia="Times New Roman" w:hAnsi="Arial Narrow"/>
                <w:color w:val="000000"/>
                <w:sz w:val="18"/>
                <w:szCs w:val="18"/>
                <w:lang w:eastAsia="fr-FR"/>
              </w:rPr>
              <w:t>Titulaires excusés</w:t>
            </w:r>
          </w:p>
        </w:tc>
        <w:tc>
          <w:tcPr>
            <w:tcW w:w="3348" w:type="dxa"/>
            <w:tcBorders>
              <w:top w:val="single" w:sz="4" w:space="0" w:color="auto"/>
              <w:left w:val="nil"/>
              <w:bottom w:val="single" w:sz="4" w:space="0" w:color="auto"/>
              <w:right w:val="single" w:sz="4" w:space="0" w:color="auto"/>
            </w:tcBorders>
            <w:shd w:val="clear" w:color="auto" w:fill="EEECE1"/>
            <w:noWrap/>
            <w:vAlign w:val="center"/>
            <w:hideMark/>
          </w:tcPr>
          <w:p w:rsidR="00390235" w:rsidRDefault="00390235">
            <w:pPr>
              <w:rPr>
                <w:rFonts w:ascii="Arial Narrow" w:eastAsia="Times New Roman" w:hAnsi="Arial Narrow"/>
                <w:color w:val="000000"/>
                <w:sz w:val="18"/>
                <w:szCs w:val="18"/>
                <w:lang w:eastAsia="fr-FR"/>
              </w:rPr>
            </w:pPr>
            <w:r>
              <w:rPr>
                <w:rFonts w:ascii="Arial Narrow" w:eastAsia="Times New Roman" w:hAnsi="Arial Narrow"/>
                <w:color w:val="000000"/>
                <w:sz w:val="18"/>
                <w:szCs w:val="18"/>
                <w:lang w:eastAsia="fr-FR"/>
              </w:rPr>
              <w:t>Titulaires désignés</w:t>
            </w:r>
          </w:p>
        </w:tc>
        <w:tc>
          <w:tcPr>
            <w:tcW w:w="2360" w:type="dxa"/>
            <w:noWrap/>
            <w:vAlign w:val="center"/>
            <w:hideMark/>
          </w:tcPr>
          <w:p w:rsidR="00390235" w:rsidRDefault="00390235">
            <w:pPr>
              <w:rPr>
                <w:rFonts w:ascii="Arial Narrow" w:eastAsia="Times New Roman" w:hAnsi="Arial Narrow"/>
                <w:color w:val="000000"/>
                <w:sz w:val="18"/>
                <w:szCs w:val="18"/>
                <w:lang w:eastAsia="fr-FR"/>
              </w:rPr>
            </w:pP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color w:val="000000"/>
                <w:sz w:val="18"/>
                <w:szCs w:val="18"/>
                <w:lang w:eastAsia="fr-FR"/>
              </w:rPr>
            </w:pPr>
            <w:r>
              <w:rPr>
                <w:rFonts w:ascii="Arial Narrow" w:eastAsia="Times New Roman" w:hAnsi="Arial Narrow"/>
                <w:color w:val="000000"/>
                <w:sz w:val="18"/>
                <w:szCs w:val="18"/>
                <w:lang w:eastAsia="fr-FR"/>
              </w:rPr>
              <w:t>GONZALES Christian</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color w:val="000000"/>
                <w:sz w:val="18"/>
                <w:szCs w:val="18"/>
                <w:lang w:eastAsia="fr-FR"/>
              </w:rPr>
            </w:pPr>
            <w:r>
              <w:rPr>
                <w:rFonts w:ascii="Arial Narrow" w:eastAsia="Times New Roman" w:hAnsi="Arial Narrow"/>
                <w:color w:val="000000"/>
                <w:sz w:val="18"/>
                <w:szCs w:val="18"/>
                <w:lang w:eastAsia="fr-FR"/>
              </w:rPr>
              <w:t>LESPADE Jean-Marc</w:t>
            </w:r>
          </w:p>
        </w:tc>
        <w:tc>
          <w:tcPr>
            <w:tcW w:w="2360" w:type="dxa"/>
            <w:noWrap/>
            <w:vAlign w:val="bottom"/>
            <w:hideMark/>
          </w:tcPr>
          <w:p w:rsidR="00390235" w:rsidRDefault="00390235">
            <w:pPr>
              <w:rPr>
                <w:rFonts w:ascii="Arial Narrow" w:eastAsia="Times New Roman" w:hAnsi="Arial Narrow"/>
                <w:color w:val="000000"/>
                <w:sz w:val="18"/>
                <w:szCs w:val="18"/>
                <w:lang w:eastAsia="fr-FR"/>
              </w:rPr>
            </w:pP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NOUSBAUM Pierre-Marie (à partir du rapport n°11)</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HACALA Germaine</w:t>
            </w:r>
          </w:p>
        </w:tc>
        <w:tc>
          <w:tcPr>
            <w:tcW w:w="2360" w:type="dxa"/>
            <w:noWrap/>
            <w:vAlign w:val="bottom"/>
            <w:hideMark/>
          </w:tcPr>
          <w:p w:rsidR="00390235" w:rsidRDefault="00390235">
            <w:pPr>
              <w:rPr>
                <w:rFonts w:ascii="Arial Narrow" w:eastAsia="Times New Roman" w:hAnsi="Arial Narrow"/>
                <w:sz w:val="18"/>
                <w:szCs w:val="18"/>
                <w:lang w:eastAsia="fr-FR"/>
              </w:rPr>
            </w:pP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SOROSTE Michel</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ETCHEGARAY Jean-René</w:t>
            </w:r>
          </w:p>
        </w:tc>
        <w:tc>
          <w:tcPr>
            <w:tcW w:w="2360" w:type="dxa"/>
            <w:noWrap/>
            <w:vAlign w:val="bottom"/>
            <w:hideMark/>
          </w:tcPr>
          <w:p w:rsidR="00390235" w:rsidRDefault="00390235">
            <w:pPr>
              <w:rPr>
                <w:rFonts w:ascii="Arial Narrow" w:eastAsia="Times New Roman" w:hAnsi="Arial Narrow"/>
                <w:sz w:val="18"/>
                <w:szCs w:val="18"/>
                <w:lang w:eastAsia="fr-FR"/>
              </w:rPr>
            </w:pPr>
          </w:p>
        </w:tc>
      </w:tr>
      <w:tr w:rsidR="00390235" w:rsidTr="00390235">
        <w:trPr>
          <w:trHeight w:val="227"/>
        </w:trPr>
        <w:tc>
          <w:tcPr>
            <w:tcW w:w="3832" w:type="dxa"/>
            <w:tcBorders>
              <w:top w:val="nil"/>
              <w:left w:val="single" w:sz="4" w:space="0" w:color="auto"/>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VEUNAC Jacques</w:t>
            </w:r>
          </w:p>
        </w:tc>
        <w:tc>
          <w:tcPr>
            <w:tcW w:w="3348" w:type="dxa"/>
            <w:tcBorders>
              <w:top w:val="nil"/>
              <w:left w:val="nil"/>
              <w:bottom w:val="single" w:sz="4" w:space="0" w:color="auto"/>
              <w:right w:val="single" w:sz="4" w:space="0" w:color="auto"/>
            </w:tcBorders>
            <w:noWrap/>
            <w:vAlign w:val="center"/>
            <w:hideMark/>
          </w:tcPr>
          <w:p w:rsidR="00390235" w:rsidRDefault="00390235">
            <w:pPr>
              <w:jc w:val="both"/>
              <w:rPr>
                <w:rFonts w:ascii="Arial Narrow" w:eastAsia="Times New Roman" w:hAnsi="Arial Narrow"/>
                <w:sz w:val="18"/>
                <w:szCs w:val="18"/>
                <w:lang w:eastAsia="fr-FR"/>
              </w:rPr>
            </w:pPr>
            <w:r>
              <w:rPr>
                <w:rFonts w:ascii="Arial Narrow" w:eastAsia="Times New Roman" w:hAnsi="Arial Narrow"/>
                <w:sz w:val="18"/>
                <w:szCs w:val="18"/>
                <w:lang w:eastAsia="fr-FR"/>
              </w:rPr>
              <w:t>OLIVE Claude</w:t>
            </w:r>
          </w:p>
        </w:tc>
        <w:tc>
          <w:tcPr>
            <w:tcW w:w="2360" w:type="dxa"/>
            <w:noWrap/>
            <w:vAlign w:val="bottom"/>
            <w:hideMark/>
          </w:tcPr>
          <w:p w:rsidR="00390235" w:rsidRDefault="00390235">
            <w:pPr>
              <w:rPr>
                <w:rFonts w:ascii="Arial Narrow" w:eastAsia="Times New Roman" w:hAnsi="Arial Narrow"/>
                <w:sz w:val="18"/>
                <w:szCs w:val="18"/>
                <w:lang w:eastAsia="fr-FR"/>
              </w:rPr>
            </w:pPr>
          </w:p>
        </w:tc>
      </w:tr>
    </w:tbl>
    <w:p w:rsidR="002A29F6" w:rsidRPr="005F262E" w:rsidRDefault="005F262E" w:rsidP="00E234D3">
      <w:pPr>
        <w:rPr>
          <w:rFonts w:ascii="Arial Narrow" w:hAnsi="Arial Narrow" w:cs="Arial"/>
          <w:sz w:val="22"/>
          <w:szCs w:val="22"/>
        </w:rPr>
      </w:pPr>
      <w:r w:rsidRPr="005F262E">
        <w:rPr>
          <w:rFonts w:ascii="Arial Narrow" w:hAnsi="Arial Narrow" w:cs="Arial"/>
          <w:sz w:val="22"/>
          <w:szCs w:val="22"/>
          <w:u w:val="single"/>
        </w:rPr>
        <w:t>Secrétaire de séance</w:t>
      </w:r>
      <w:r w:rsidRPr="005F262E">
        <w:rPr>
          <w:rFonts w:ascii="Arial Narrow" w:hAnsi="Arial Narrow" w:cs="Arial"/>
          <w:sz w:val="22"/>
          <w:szCs w:val="22"/>
        </w:rPr>
        <w:t xml:space="preserve"> : </w:t>
      </w:r>
      <w:r w:rsidR="007A50D9">
        <w:rPr>
          <w:rFonts w:ascii="Arial Narrow" w:hAnsi="Arial Narrow" w:cs="Arial"/>
          <w:sz w:val="22"/>
          <w:szCs w:val="22"/>
        </w:rPr>
        <w:t>Paul MENDIBURU</w:t>
      </w:r>
    </w:p>
    <w:p w:rsidR="002A29F6" w:rsidRPr="00C462C4" w:rsidRDefault="002A29F6" w:rsidP="00E234D3">
      <w:pPr>
        <w:rPr>
          <w:rFonts w:ascii="Arial Narrow" w:hAnsi="Arial Narrow" w:cs="Arial"/>
          <w:sz w:val="22"/>
          <w:szCs w:val="22"/>
        </w:rPr>
      </w:pPr>
    </w:p>
    <w:p w:rsidR="007146C4" w:rsidRPr="007146C4" w:rsidRDefault="007146C4" w:rsidP="007146C4">
      <w:pPr>
        <w:keepNext/>
        <w:jc w:val="both"/>
        <w:outlineLvl w:val="1"/>
        <w:rPr>
          <w:rFonts w:ascii="Arial Narrow" w:eastAsia="Times New Roman" w:hAnsi="Arial Narrow" w:cs="Arial"/>
          <w:b/>
          <w:sz w:val="22"/>
          <w:szCs w:val="22"/>
          <w:u w:val="single"/>
          <w:lang w:eastAsia="fr-FR"/>
        </w:rPr>
      </w:pPr>
      <w:r w:rsidRPr="007146C4">
        <w:rPr>
          <w:rFonts w:ascii="Arial Narrow" w:eastAsia="Times New Roman" w:hAnsi="Arial Narrow" w:cs="Arial"/>
          <w:b/>
          <w:sz w:val="22"/>
          <w:szCs w:val="22"/>
          <w:u w:val="single"/>
          <w:lang w:eastAsia="fr-FR"/>
        </w:rPr>
        <w:t>OJ N°19 : ACCESSIBILITE DES PERSONNES A MOBILITE REDUITE AUX POINTS D’ARRET DES RESEAUX DE TRANSPORTS EN COMMUN – PARTICIPATION FINANCIERE DU SMPBA</w:t>
      </w:r>
    </w:p>
    <w:p w:rsidR="007146C4" w:rsidRPr="007146C4" w:rsidRDefault="007146C4" w:rsidP="007146C4">
      <w:pPr>
        <w:tabs>
          <w:tab w:val="left" w:pos="851"/>
          <w:tab w:val="left" w:pos="5103"/>
        </w:tabs>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 xml:space="preserve">Les articles 45 et 46, de la loi n°2005-102 du 11 février 2005 relative à l’égalité des droits et des chances imposent l’élaboration et la mise en œuvre d’un schéma directeur d’accessibilité. </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Les autorités compétentes pour l’organisation du transport public sont chargées de l’application de cette loi, donc de définir les modalités d’accessibilité du réseau urbain.</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Par délibération du 02 juin 2010, le Syndicat Mixte des Transports en Commun avait acté le versement d’une participation incitative au respect des normes de l’arrêt type validé en Comité Technique du 22 octobre 2008 dans le cadre du programme pluriannuel du schéma directeur d’accessibilité.</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Le projet de plan de financement des points d’arrêt était basé sur les principes suivants :</w:t>
      </w:r>
    </w:p>
    <w:p w:rsidR="007146C4" w:rsidRPr="007146C4" w:rsidRDefault="007146C4" w:rsidP="007146C4">
      <w:pPr>
        <w:ind w:left="567"/>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I – Stations positionnées sur les axes de TCSP : 100% maître d’ouvrage de l’infrastructure.</w:t>
      </w:r>
    </w:p>
    <w:p w:rsidR="007146C4" w:rsidRPr="007146C4" w:rsidRDefault="007146C4" w:rsidP="007146C4">
      <w:pPr>
        <w:ind w:left="567"/>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II – Hors axes TCSP :</w:t>
      </w:r>
    </w:p>
    <w:p w:rsidR="007146C4" w:rsidRPr="007146C4" w:rsidRDefault="007146C4" w:rsidP="007146C4">
      <w:pPr>
        <w:ind w:left="1134"/>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Sur route départementale :</w:t>
      </w:r>
    </w:p>
    <w:p w:rsidR="007146C4" w:rsidRPr="007146C4" w:rsidRDefault="007146C4" w:rsidP="007146C4">
      <w:pPr>
        <w:ind w:left="1701"/>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75% commune et/ou Conseil Départemental</w:t>
      </w:r>
    </w:p>
    <w:p w:rsidR="007146C4" w:rsidRPr="007146C4" w:rsidRDefault="007146C4" w:rsidP="007146C4">
      <w:pPr>
        <w:ind w:left="1701"/>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 xml:space="preserve">25% SMTC avec un maximum de 5 000 euros par arrêt </w:t>
      </w:r>
    </w:p>
    <w:p w:rsidR="007146C4" w:rsidRPr="007146C4" w:rsidRDefault="007146C4" w:rsidP="007146C4">
      <w:pPr>
        <w:ind w:left="1134"/>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Voies communales :</w:t>
      </w:r>
    </w:p>
    <w:p w:rsidR="007146C4" w:rsidRPr="007146C4" w:rsidRDefault="007146C4" w:rsidP="007146C4">
      <w:pPr>
        <w:ind w:left="1701"/>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75% commune</w:t>
      </w:r>
    </w:p>
    <w:p w:rsidR="007146C4" w:rsidRPr="007146C4" w:rsidRDefault="007146C4" w:rsidP="007146C4">
      <w:pPr>
        <w:ind w:left="1701"/>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25% SMTC avec un maximum de 5 000 euros par arrêt</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Entre 120 000 € et 150 000 € étaient inscrits annuellement à l’exercice budgétaire du SMTC pour couvrir ce plan de financement.</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De même, l’ancienne Agglomération Sud Pays Basque, en tant qu’autorité organisatrice des transports sur son périmètre de transport urbain, avait adopté un règlement d’intervention pour le versement d’une aide aux communes dans le cadre de la mise en accessibilité des points d’arrêt de son réseau.</w:t>
      </w:r>
    </w:p>
    <w:p w:rsidR="007146C4" w:rsidRPr="007146C4" w:rsidRDefault="007146C4" w:rsidP="007146C4">
      <w:pPr>
        <w:jc w:val="both"/>
        <w:rPr>
          <w:rFonts w:ascii="Arial Narrow" w:eastAsia="Times New Roman" w:hAnsi="Arial Narrow" w:cs="Arial"/>
          <w:sz w:val="22"/>
          <w:szCs w:val="22"/>
          <w:lang w:eastAsia="fr-FR"/>
        </w:rPr>
      </w:pPr>
    </w:p>
    <w:p w:rsid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Le projet de plan de financement des points d’arrêt était basé sur le principe suivant :</w:t>
      </w:r>
    </w:p>
    <w:p w:rsidR="00354964" w:rsidRPr="007146C4" w:rsidRDefault="00354964" w:rsidP="007146C4">
      <w:pPr>
        <w:jc w:val="both"/>
        <w:rPr>
          <w:rFonts w:ascii="Arial Narrow" w:eastAsia="Times New Roman" w:hAnsi="Arial Narrow" w:cs="Arial"/>
          <w:sz w:val="22"/>
          <w:szCs w:val="22"/>
          <w:lang w:eastAsia="fr-FR"/>
        </w:rPr>
      </w:pPr>
    </w:p>
    <w:p w:rsidR="00354964" w:rsidRDefault="00354964" w:rsidP="007146C4">
      <w:pPr>
        <w:ind w:left="1701"/>
        <w:jc w:val="both"/>
        <w:rPr>
          <w:rFonts w:ascii="Arial Narrow" w:eastAsia="Times New Roman" w:hAnsi="Arial Narrow" w:cs="Arial"/>
          <w:sz w:val="22"/>
          <w:szCs w:val="22"/>
          <w:lang w:eastAsia="fr-FR"/>
        </w:rPr>
      </w:pPr>
    </w:p>
    <w:p w:rsidR="007146C4" w:rsidRPr="007146C4" w:rsidRDefault="007146C4" w:rsidP="007146C4">
      <w:pPr>
        <w:ind w:left="1701"/>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50 % gestionnaire de la voie</w:t>
      </w:r>
    </w:p>
    <w:p w:rsidR="007146C4" w:rsidRPr="007146C4" w:rsidRDefault="007146C4" w:rsidP="007146C4">
      <w:pPr>
        <w:ind w:left="1701"/>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50 % ASPB avec un maximum de 4 000 euros par arrêt</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 xml:space="preserve">Avec l’extension du réseau urbain sur les communes de </w:t>
      </w:r>
      <w:proofErr w:type="spellStart"/>
      <w:r w:rsidRPr="007146C4">
        <w:rPr>
          <w:rFonts w:ascii="Arial Narrow" w:eastAsia="Times New Roman" w:hAnsi="Arial Narrow" w:cs="Arial"/>
          <w:sz w:val="22"/>
          <w:szCs w:val="22"/>
          <w:lang w:eastAsia="fr-FR"/>
        </w:rPr>
        <w:t>Mouguerre</w:t>
      </w:r>
      <w:proofErr w:type="spellEnd"/>
      <w:r w:rsidRPr="007146C4">
        <w:rPr>
          <w:rFonts w:ascii="Arial Narrow" w:eastAsia="Times New Roman" w:hAnsi="Arial Narrow" w:cs="Arial"/>
          <w:sz w:val="22"/>
          <w:szCs w:val="22"/>
          <w:lang w:eastAsia="fr-FR"/>
        </w:rPr>
        <w:t xml:space="preserve">, </w:t>
      </w:r>
      <w:proofErr w:type="spellStart"/>
      <w:r w:rsidRPr="007146C4">
        <w:rPr>
          <w:rFonts w:ascii="Arial Narrow" w:eastAsia="Times New Roman" w:hAnsi="Arial Narrow" w:cs="Arial"/>
          <w:sz w:val="22"/>
          <w:szCs w:val="22"/>
          <w:lang w:eastAsia="fr-FR"/>
        </w:rPr>
        <w:t>Bassussarry</w:t>
      </w:r>
      <w:proofErr w:type="spellEnd"/>
      <w:r w:rsidRPr="007146C4">
        <w:rPr>
          <w:rFonts w:ascii="Arial Narrow" w:eastAsia="Times New Roman" w:hAnsi="Arial Narrow" w:cs="Arial"/>
          <w:sz w:val="22"/>
          <w:szCs w:val="22"/>
          <w:lang w:eastAsia="fr-FR"/>
        </w:rPr>
        <w:t xml:space="preserve">, </w:t>
      </w:r>
      <w:proofErr w:type="spellStart"/>
      <w:r w:rsidRPr="007146C4">
        <w:rPr>
          <w:rFonts w:ascii="Arial Narrow" w:eastAsia="Times New Roman" w:hAnsi="Arial Narrow" w:cs="Arial"/>
          <w:sz w:val="22"/>
          <w:szCs w:val="22"/>
          <w:lang w:eastAsia="fr-FR"/>
        </w:rPr>
        <w:t>Arcangues</w:t>
      </w:r>
      <w:proofErr w:type="spellEnd"/>
      <w:r w:rsidRPr="007146C4">
        <w:rPr>
          <w:rFonts w:ascii="Arial Narrow" w:eastAsia="Times New Roman" w:hAnsi="Arial Narrow" w:cs="Arial"/>
          <w:sz w:val="22"/>
          <w:szCs w:val="22"/>
          <w:lang w:eastAsia="fr-FR"/>
        </w:rPr>
        <w:t xml:space="preserve"> et </w:t>
      </w:r>
      <w:proofErr w:type="spellStart"/>
      <w:r w:rsidRPr="007146C4">
        <w:rPr>
          <w:rFonts w:ascii="Arial Narrow" w:eastAsia="Times New Roman" w:hAnsi="Arial Narrow" w:cs="Arial"/>
          <w:sz w:val="22"/>
          <w:szCs w:val="22"/>
          <w:lang w:eastAsia="fr-FR"/>
        </w:rPr>
        <w:t>Villefranque</w:t>
      </w:r>
      <w:proofErr w:type="spellEnd"/>
      <w:r w:rsidRPr="007146C4">
        <w:rPr>
          <w:rFonts w:ascii="Arial Narrow" w:eastAsia="Times New Roman" w:hAnsi="Arial Narrow" w:cs="Arial"/>
          <w:sz w:val="22"/>
          <w:szCs w:val="22"/>
          <w:lang w:eastAsia="fr-FR"/>
        </w:rPr>
        <w:t>, le Syndicat des mobilités Pays Basque-Adour a souhaité poursuivre ce dispositif et l’harmoniser afin de l’étendre à l’échelle de son ressort territorial pour répondre également à des créations de lignes de transports en commun notamment à Mauléon et à St Palais.</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Le règlement d’intervention proposé du SMPBA est le suivant :</w:t>
      </w:r>
    </w:p>
    <w:p w:rsidR="007146C4" w:rsidRPr="007146C4" w:rsidRDefault="007146C4" w:rsidP="007146C4">
      <w:pPr>
        <w:ind w:left="567"/>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I – Stations positionnées sur les axes de TCSP : 100% maître d’ouvrage de l’infrastructure.</w:t>
      </w:r>
    </w:p>
    <w:p w:rsidR="007146C4" w:rsidRPr="007146C4" w:rsidRDefault="007146C4" w:rsidP="007146C4">
      <w:pPr>
        <w:ind w:left="567"/>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II – Hors axes TCSP :</w:t>
      </w:r>
    </w:p>
    <w:p w:rsidR="007146C4" w:rsidRPr="007146C4" w:rsidRDefault="007146C4" w:rsidP="007146C4">
      <w:pPr>
        <w:ind w:left="1701"/>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60% gestionnaire de la voie (Département, commune)</w:t>
      </w:r>
    </w:p>
    <w:p w:rsidR="007146C4" w:rsidRPr="007146C4" w:rsidRDefault="007146C4" w:rsidP="007146C4">
      <w:pPr>
        <w:ind w:left="1701"/>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w:t>
      </w:r>
      <w:r w:rsidRPr="007146C4">
        <w:rPr>
          <w:rFonts w:ascii="Arial Narrow" w:eastAsia="Times New Roman" w:hAnsi="Arial Narrow" w:cs="Arial"/>
          <w:sz w:val="22"/>
          <w:szCs w:val="22"/>
          <w:lang w:eastAsia="fr-FR"/>
        </w:rPr>
        <w:tab/>
        <w:t>40% SMPBA avec un maximum de 5 000 euros par arrêt</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La dépense annuelle est évaluée entre 200 000 euros et 300 000 euros, soit 40 à 60 points d’arrêt par an sur la base d’un coût moyen des travaux de mise aux normes de 10 000 à 15 000 euros par arrêt.</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cs="Arial"/>
          <w:sz w:val="22"/>
          <w:szCs w:val="22"/>
          <w:lang w:eastAsia="fr-FR"/>
        </w:rPr>
      </w:pPr>
      <w:r w:rsidRPr="007146C4">
        <w:rPr>
          <w:rFonts w:ascii="Arial Narrow" w:eastAsia="Times New Roman" w:hAnsi="Arial Narrow" w:cs="Arial"/>
          <w:sz w:val="22"/>
          <w:szCs w:val="22"/>
          <w:lang w:eastAsia="fr-FR"/>
        </w:rPr>
        <w:t xml:space="preserve">Chaque demande de participation devra être accompagnée d’une note technique, d’un plan de localisation, des plans d’aménagements de l’arrêt et du devis estimatif détaillé du montant des travaux. </w:t>
      </w:r>
    </w:p>
    <w:p w:rsidR="007146C4" w:rsidRPr="007146C4" w:rsidRDefault="007146C4" w:rsidP="007146C4">
      <w:pPr>
        <w:jc w:val="both"/>
        <w:rPr>
          <w:rFonts w:ascii="Arial Narrow" w:eastAsia="Times New Roman" w:hAnsi="Arial Narrow" w:cs="Arial"/>
          <w:sz w:val="22"/>
          <w:szCs w:val="22"/>
          <w:lang w:eastAsia="fr-FR"/>
        </w:rPr>
      </w:pPr>
    </w:p>
    <w:p w:rsidR="007146C4" w:rsidRPr="007146C4" w:rsidRDefault="007146C4" w:rsidP="007146C4">
      <w:pPr>
        <w:jc w:val="both"/>
        <w:rPr>
          <w:rFonts w:ascii="Arial Narrow" w:eastAsia="Times New Roman" w:hAnsi="Arial Narrow"/>
          <w:sz w:val="22"/>
          <w:szCs w:val="20"/>
          <w:lang w:eastAsia="fr-FR"/>
        </w:rPr>
      </w:pPr>
      <w:r w:rsidRPr="007146C4">
        <w:rPr>
          <w:rFonts w:ascii="Arial Narrow" w:eastAsia="Times New Roman" w:hAnsi="Arial Narrow" w:cs="Arial"/>
          <w:sz w:val="22"/>
          <w:szCs w:val="22"/>
          <w:lang w:eastAsia="fr-FR"/>
        </w:rPr>
        <w:t xml:space="preserve">Afin de poursuivre cette action et le versement d’une aide à la mise en accessibilité des points d’arrêt aux </w:t>
      </w:r>
      <w:proofErr w:type="gramStart"/>
      <w:r w:rsidRPr="007146C4">
        <w:rPr>
          <w:rFonts w:ascii="Arial Narrow" w:eastAsia="Times New Roman" w:hAnsi="Arial Narrow" w:cs="Arial"/>
          <w:sz w:val="22"/>
          <w:szCs w:val="22"/>
          <w:lang w:eastAsia="fr-FR"/>
        </w:rPr>
        <w:t>communes</w:t>
      </w:r>
      <w:proofErr w:type="gramEnd"/>
      <w:r w:rsidRPr="007146C4">
        <w:rPr>
          <w:rFonts w:ascii="Arial Narrow" w:eastAsia="Times New Roman" w:hAnsi="Arial Narrow" w:cs="Arial"/>
          <w:sz w:val="22"/>
          <w:szCs w:val="22"/>
          <w:lang w:eastAsia="fr-FR"/>
        </w:rPr>
        <w:t xml:space="preserve"> membres du SMPBA, il est proposé au Comité syndical d’accepter la mise en œuvre de cette mesure et d’autoriser Monsieur le Président à signer les documents afférents.</w:t>
      </w:r>
    </w:p>
    <w:p w:rsidR="00C30A27" w:rsidRPr="009C032A" w:rsidRDefault="00C30A27" w:rsidP="00C30A27">
      <w:pPr>
        <w:ind w:left="720"/>
        <w:contextualSpacing/>
        <w:jc w:val="both"/>
        <w:rPr>
          <w:rFonts w:ascii="Arial Narrow" w:hAnsi="Arial Narrow" w:cs="Arial"/>
          <w:sz w:val="22"/>
          <w:szCs w:val="22"/>
        </w:rPr>
      </w:pPr>
    </w:p>
    <w:p w:rsidR="00015465" w:rsidRDefault="00297E94" w:rsidP="00015465">
      <w:pPr>
        <w:jc w:val="center"/>
        <w:rPr>
          <w:rFonts w:ascii="Arial Narrow" w:hAnsi="Arial Narrow" w:cs="Arial"/>
          <w:b/>
          <w:sz w:val="22"/>
          <w:szCs w:val="22"/>
        </w:rPr>
      </w:pPr>
      <w:r>
        <w:rPr>
          <w:rFonts w:ascii="Arial Narrow" w:hAnsi="Arial Narrow" w:cs="Arial"/>
          <w:b/>
          <w:sz w:val="22"/>
          <w:szCs w:val="22"/>
        </w:rPr>
        <w:t>ADOPTE A L’UNANIMITE</w:t>
      </w:r>
    </w:p>
    <w:p w:rsidR="00E234D3" w:rsidRPr="00905620" w:rsidRDefault="00E234D3" w:rsidP="00E234D3">
      <w:pPr>
        <w:tabs>
          <w:tab w:val="left" w:leader="underscore" w:pos="10065"/>
        </w:tabs>
        <w:ind w:left="-851" w:right="55"/>
        <w:jc w:val="both"/>
        <w:rPr>
          <w:rFonts w:ascii="Arial" w:hAnsi="Arial" w:cs="Arial"/>
          <w:sz w:val="22"/>
          <w:szCs w:val="22"/>
        </w:rPr>
      </w:pPr>
      <w:r w:rsidRPr="00905620">
        <w:rPr>
          <w:rFonts w:ascii="Arial" w:hAnsi="Arial" w:cs="Arial"/>
          <w:sz w:val="22"/>
          <w:szCs w:val="22"/>
        </w:rPr>
        <w:tab/>
      </w:r>
    </w:p>
    <w:p w:rsidR="00E234D3" w:rsidRPr="00E234D3" w:rsidRDefault="00E234D3" w:rsidP="00E234D3">
      <w:pPr>
        <w:tabs>
          <w:tab w:val="left" w:pos="993"/>
        </w:tabs>
        <w:spacing w:before="120"/>
        <w:rPr>
          <w:rFonts w:ascii="Times New Roman" w:hAnsi="Times New Roman"/>
          <w:i/>
          <w:iCs/>
          <w:sz w:val="20"/>
          <w:szCs w:val="20"/>
        </w:rPr>
      </w:pPr>
      <w:r w:rsidRPr="00E234D3">
        <w:rPr>
          <w:rFonts w:ascii="Times New Roman" w:hAnsi="Times New Roman"/>
          <w:i/>
          <w:iCs/>
          <w:sz w:val="20"/>
          <w:szCs w:val="20"/>
        </w:rPr>
        <w:t>Fait et délibéré en séance les jours, mois et an que dessus, et le présent extrait certifié conforme au registre.</w:t>
      </w:r>
    </w:p>
    <w:p w:rsidR="00E234D3" w:rsidRPr="00E234D3" w:rsidRDefault="00E234D3" w:rsidP="00E234D3">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Ce</w:t>
      </w:r>
      <w:r w:rsidR="00DD2F9B">
        <w:rPr>
          <w:rFonts w:ascii="Times New Roman" w:hAnsi="Times New Roman"/>
          <w:i/>
          <w:iCs/>
          <w:sz w:val="20"/>
          <w:szCs w:val="20"/>
        </w:rPr>
        <w:t>rtifié exécutoire.</w:t>
      </w:r>
      <w:r w:rsidR="00DD2F9B">
        <w:rPr>
          <w:rFonts w:ascii="Times New Roman" w:hAnsi="Times New Roman"/>
          <w:i/>
          <w:iCs/>
          <w:sz w:val="20"/>
          <w:szCs w:val="20"/>
        </w:rPr>
        <w:tab/>
        <w:t>Le Président,</w:t>
      </w:r>
    </w:p>
    <w:p w:rsidR="00E234D3" w:rsidRPr="00E234D3" w:rsidRDefault="00E234D3" w:rsidP="00E234D3">
      <w:pPr>
        <w:tabs>
          <w:tab w:val="left" w:pos="1260"/>
          <w:tab w:val="left" w:pos="7088"/>
        </w:tabs>
        <w:spacing w:before="60"/>
        <w:rPr>
          <w:rFonts w:ascii="Times New Roman" w:hAnsi="Times New Roman"/>
          <w:i/>
          <w:iCs/>
          <w:sz w:val="20"/>
          <w:szCs w:val="20"/>
        </w:rPr>
      </w:pPr>
      <w:r w:rsidRPr="00E234D3">
        <w:rPr>
          <w:rFonts w:ascii="Times New Roman" w:hAnsi="Times New Roman"/>
          <w:i/>
          <w:iCs/>
          <w:sz w:val="20"/>
          <w:szCs w:val="20"/>
        </w:rPr>
        <w:t xml:space="preserve">Transmis à la Sous-Préfecture </w:t>
      </w:r>
      <w:r w:rsidRPr="00E234D3">
        <w:rPr>
          <w:rFonts w:ascii="Times New Roman" w:hAnsi="Times New Roman"/>
          <w:i/>
          <w:iCs/>
          <w:sz w:val="20"/>
          <w:szCs w:val="20"/>
        </w:rPr>
        <w:tab/>
      </w:r>
    </w:p>
    <w:p w:rsidR="00E234D3" w:rsidRPr="00E234D3" w:rsidRDefault="00E234D3" w:rsidP="00E234D3">
      <w:pPr>
        <w:tabs>
          <w:tab w:val="left" w:pos="1260"/>
        </w:tabs>
        <w:spacing w:before="60"/>
        <w:rPr>
          <w:rFonts w:ascii="Times New Roman" w:hAnsi="Times New Roman"/>
          <w:i/>
          <w:iCs/>
          <w:sz w:val="20"/>
          <w:szCs w:val="20"/>
        </w:rPr>
      </w:pPr>
      <w:r w:rsidRPr="00E234D3">
        <w:rPr>
          <w:rFonts w:ascii="Times New Roman" w:hAnsi="Times New Roman"/>
          <w:i/>
          <w:iCs/>
          <w:sz w:val="20"/>
          <w:szCs w:val="20"/>
        </w:rPr>
        <w:t>De Bayonne le …………………….</w:t>
      </w:r>
    </w:p>
    <w:p w:rsidR="00E234D3" w:rsidRPr="00E234D3" w:rsidRDefault="00E234D3" w:rsidP="00CF22FC">
      <w:pPr>
        <w:tabs>
          <w:tab w:val="left" w:pos="1260"/>
          <w:tab w:val="left" w:pos="6804"/>
        </w:tabs>
        <w:spacing w:before="60"/>
        <w:rPr>
          <w:rFonts w:ascii="Times New Roman" w:hAnsi="Times New Roman"/>
          <w:i/>
          <w:iCs/>
          <w:sz w:val="20"/>
          <w:szCs w:val="20"/>
        </w:rPr>
      </w:pPr>
      <w:r w:rsidRPr="00E234D3">
        <w:rPr>
          <w:rFonts w:ascii="Times New Roman" w:hAnsi="Times New Roman"/>
          <w:i/>
          <w:iCs/>
          <w:sz w:val="20"/>
          <w:szCs w:val="20"/>
        </w:rPr>
        <w:t>Affiché le …………………</w:t>
      </w:r>
      <w:r w:rsidRPr="00E234D3">
        <w:rPr>
          <w:rFonts w:ascii="Times New Roman" w:hAnsi="Times New Roman"/>
          <w:i/>
          <w:iCs/>
          <w:sz w:val="20"/>
          <w:szCs w:val="20"/>
        </w:rPr>
        <w:tab/>
      </w:r>
      <w:r w:rsidR="00920927">
        <w:rPr>
          <w:rFonts w:ascii="Times New Roman" w:hAnsi="Times New Roman"/>
          <w:i/>
          <w:iCs/>
          <w:sz w:val="20"/>
          <w:szCs w:val="20"/>
        </w:rPr>
        <w:t>Claude OLIVE</w:t>
      </w:r>
    </w:p>
    <w:p w:rsidR="00E234D3" w:rsidRPr="00E234D3" w:rsidRDefault="00E234D3" w:rsidP="00E234D3">
      <w:pPr>
        <w:tabs>
          <w:tab w:val="left" w:leader="underscore" w:pos="10065"/>
        </w:tabs>
        <w:ind w:left="-851" w:right="55"/>
        <w:jc w:val="both"/>
        <w:rPr>
          <w:rFonts w:ascii="Times New Roman" w:hAnsi="Times New Roman"/>
          <w:sz w:val="20"/>
          <w:szCs w:val="20"/>
          <w:u w:val="thick"/>
        </w:rPr>
      </w:pPr>
      <w:r w:rsidRPr="00E234D3">
        <w:rPr>
          <w:rFonts w:ascii="Times New Roman" w:hAnsi="Times New Roman"/>
          <w:sz w:val="20"/>
          <w:szCs w:val="20"/>
          <w:u w:val="thick"/>
        </w:rPr>
        <w:tab/>
      </w:r>
    </w:p>
    <w:sectPr w:rsidR="00E234D3" w:rsidRPr="00E234D3" w:rsidSect="00EA6C8B">
      <w:headerReference w:type="even" r:id="rId8"/>
      <w:headerReference w:type="default" r:id="rId9"/>
      <w:footerReference w:type="default" r:id="rId10"/>
      <w:pgSz w:w="11900" w:h="16840" w:code="9"/>
      <w:pgMar w:top="851" w:right="1418" w:bottom="1134" w:left="1418" w:header="181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D9" w:rsidRDefault="007A50D9" w:rsidP="00426E4E">
      <w:r>
        <w:separator/>
      </w:r>
    </w:p>
  </w:endnote>
  <w:endnote w:type="continuationSeparator" w:id="0">
    <w:p w:rsidR="007A50D9" w:rsidRDefault="007A50D9" w:rsidP="0042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PCL6)">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4E" w:rsidRDefault="007A50D9">
    <w:pPr>
      <w:pStyle w:val="Pieddepage"/>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-427355</wp:posOffset>
              </wp:positionH>
              <wp:positionV relativeFrom="paragraph">
                <wp:posOffset>-143510</wp:posOffset>
              </wp:positionV>
              <wp:extent cx="68580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rsidR="00426E4E" w:rsidRPr="00120DF8" w:rsidRDefault="00426E4E" w:rsidP="00426E4E">
                          <w:pPr>
                            <w:jc w:val="center"/>
                            <w:rPr>
                              <w:rFonts w:ascii="Calibri" w:hAnsi="Calibri"/>
                              <w:sz w:val="10"/>
                            </w:rPr>
                          </w:pPr>
                        </w:p>
                        <w:p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rsidR="00426E4E" w:rsidRPr="00120DF8" w:rsidRDefault="00426E4E" w:rsidP="00426E4E">
                          <w:pPr>
                            <w:jc w:val="center"/>
                            <w:rPr>
                              <w:rFonts w:ascii="Calibri" w:hAnsi="Calibri"/>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5pt;margin-top:-11.3pt;width:5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" filled="f" stroked="f">
              <v:textbox inset=",7.2pt,,7.2pt">
                <w:txbxContent>
                  <w:p w:rsidR="00426E4E" w:rsidRPr="00120DF8" w:rsidRDefault="00DD2F9B" w:rsidP="00120DF8">
                    <w:pPr>
                      <w:pBdr>
                        <w:bottom w:val="single" w:sz="4" w:space="4" w:color="C2D69B"/>
                      </w:pBdr>
                      <w:jc w:val="center"/>
                      <w:rPr>
                        <w:rFonts w:ascii="Calibri" w:hAnsi="Calibri"/>
                        <w:sz w:val="18"/>
                      </w:rPr>
                    </w:pPr>
                    <w:r>
                      <w:rPr>
                        <w:rFonts w:ascii="Calibri" w:hAnsi="Calibri"/>
                        <w:sz w:val="18"/>
                      </w:rPr>
                      <w:t>SYNDICAT DES MOBILITES PAYS BASQUE-ADOUR</w:t>
                    </w:r>
                  </w:p>
                  <w:p w:rsidR="00426E4E" w:rsidRPr="00120DF8" w:rsidRDefault="00426E4E" w:rsidP="00426E4E">
                    <w:pPr>
                      <w:jc w:val="center"/>
                      <w:rPr>
                        <w:rFonts w:ascii="Calibri" w:hAnsi="Calibri"/>
                        <w:sz w:val="10"/>
                      </w:rPr>
                    </w:pPr>
                  </w:p>
                  <w:p w:rsidR="00426E4E" w:rsidRPr="00120DF8" w:rsidRDefault="00426E4E" w:rsidP="00426E4E">
                    <w:pPr>
                      <w:jc w:val="center"/>
                      <w:rPr>
                        <w:rFonts w:ascii="Calibri" w:hAnsi="Calibri"/>
                        <w:sz w:val="18"/>
                      </w:rPr>
                    </w:pPr>
                    <w:r w:rsidRPr="00120DF8">
                      <w:rPr>
                        <w:rFonts w:ascii="Calibri" w:hAnsi="Calibri"/>
                        <w:sz w:val="18"/>
                      </w:rPr>
                      <w:t>15, avenue Foch – CS88507 – 64185 BAYO</w:t>
                    </w:r>
                    <w:r w:rsidR="009A0910">
                      <w:rPr>
                        <w:rFonts w:ascii="Calibri" w:hAnsi="Calibri"/>
                        <w:sz w:val="18"/>
                      </w:rPr>
                      <w:t>NNE CEDEX – Tel : 05 59 44 74 88</w:t>
                    </w:r>
                  </w:p>
                  <w:p w:rsidR="00426E4E" w:rsidRPr="00120DF8" w:rsidRDefault="00426E4E" w:rsidP="00426E4E">
                    <w:pPr>
                      <w:jc w:val="center"/>
                      <w:rPr>
                        <w:rFonts w:ascii="Calibri" w:hAnsi="Calibri"/>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D9" w:rsidRDefault="007A50D9" w:rsidP="00426E4E">
      <w:r>
        <w:separator/>
      </w:r>
    </w:p>
  </w:footnote>
  <w:footnote w:type="continuationSeparator" w:id="0">
    <w:p w:rsidR="007A50D9" w:rsidRDefault="007A50D9" w:rsidP="0042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4E" w:rsidRDefault="00426E4E">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E4E" w:rsidRDefault="007A50D9" w:rsidP="00426E4E">
    <w:pPr>
      <w:ind w:left="1416" w:firstLine="708"/>
      <w:rPr>
        <w:b/>
      </w:rPr>
    </w:pPr>
    <w:r>
      <w:rPr>
        <w:noProof/>
        <w:lang w:eastAsia="fr-FR"/>
      </w:rPr>
      <w:drawing>
        <wp:anchor distT="0" distB="0" distL="114300" distR="114300" simplePos="0" relativeHeight="251658240" behindDoc="0" locked="0" layoutInCell="1" allowOverlap="1">
          <wp:simplePos x="0" y="0"/>
          <wp:positionH relativeFrom="column">
            <wp:posOffset>-207010</wp:posOffset>
          </wp:positionH>
          <wp:positionV relativeFrom="paragraph">
            <wp:posOffset>-702310</wp:posOffset>
          </wp:positionV>
          <wp:extent cx="838200" cy="83820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4E" w:rsidRPr="00E234D3">
      <w:rPr>
        <w:b/>
      </w:rPr>
      <w:t>EXTRAIT DU REGISTRE DES DELIBERATIONS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4F0"/>
    <w:multiLevelType w:val="hybridMultilevel"/>
    <w:tmpl w:val="6BA41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13CCC"/>
    <w:multiLevelType w:val="multilevel"/>
    <w:tmpl w:val="1BDAF7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8C68E5"/>
    <w:multiLevelType w:val="hybridMultilevel"/>
    <w:tmpl w:val="BBB0DF64"/>
    <w:lvl w:ilvl="0" w:tplc="7186C0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62142"/>
    <w:multiLevelType w:val="hybridMultilevel"/>
    <w:tmpl w:val="D4CA096E"/>
    <w:lvl w:ilvl="0" w:tplc="30B2A07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F120A"/>
    <w:multiLevelType w:val="hybridMultilevel"/>
    <w:tmpl w:val="83803006"/>
    <w:lvl w:ilvl="0" w:tplc="F4C4A38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67B3E"/>
    <w:multiLevelType w:val="hybridMultilevel"/>
    <w:tmpl w:val="B43CD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B0784D"/>
    <w:multiLevelType w:val="hybridMultilevel"/>
    <w:tmpl w:val="E78EEEDA"/>
    <w:lvl w:ilvl="0" w:tplc="7186C0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57031"/>
    <w:multiLevelType w:val="hybridMultilevel"/>
    <w:tmpl w:val="B5366F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3C6A89"/>
    <w:multiLevelType w:val="hybridMultilevel"/>
    <w:tmpl w:val="C1C887FE"/>
    <w:lvl w:ilvl="0" w:tplc="7186C0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53D4C"/>
    <w:multiLevelType w:val="hybridMultilevel"/>
    <w:tmpl w:val="7BFABB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4043B"/>
    <w:multiLevelType w:val="hybridMultilevel"/>
    <w:tmpl w:val="F5E01E4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1B461E0"/>
    <w:multiLevelType w:val="hybridMultilevel"/>
    <w:tmpl w:val="10AC0C24"/>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15:restartNumberingAfterBreak="0">
    <w:nsid w:val="47315D32"/>
    <w:multiLevelType w:val="hybridMultilevel"/>
    <w:tmpl w:val="48FA07E6"/>
    <w:lvl w:ilvl="0" w:tplc="7186C078">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4FE956FA"/>
    <w:multiLevelType w:val="hybridMultilevel"/>
    <w:tmpl w:val="0E985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C32C0"/>
    <w:multiLevelType w:val="hybridMultilevel"/>
    <w:tmpl w:val="27787BAC"/>
    <w:lvl w:ilvl="0" w:tplc="7B1EB6D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C5A43C5"/>
    <w:multiLevelType w:val="hybridMultilevel"/>
    <w:tmpl w:val="5010E52A"/>
    <w:lvl w:ilvl="0" w:tplc="040C000D">
      <w:start w:val="1"/>
      <w:numFmt w:val="bullet"/>
      <w:lvlText w:val=""/>
      <w:lvlJc w:val="left"/>
      <w:pPr>
        <w:ind w:left="759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697E2A"/>
    <w:multiLevelType w:val="hybridMultilevel"/>
    <w:tmpl w:val="B7444F66"/>
    <w:lvl w:ilvl="0" w:tplc="B7F4A6FC">
      <w:numFmt w:val="bullet"/>
      <w:lvlText w:val="-"/>
      <w:lvlJc w:val="left"/>
      <w:pPr>
        <w:ind w:left="720" w:hanging="360"/>
      </w:pPr>
      <w:rPr>
        <w:rFonts w:ascii="Arial Narrow" w:eastAsia="Cambri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E87B6F"/>
    <w:multiLevelType w:val="hybridMultilevel"/>
    <w:tmpl w:val="F3C211FE"/>
    <w:lvl w:ilvl="0" w:tplc="B00092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19368EE"/>
    <w:multiLevelType w:val="hybridMultilevel"/>
    <w:tmpl w:val="6EA42CB0"/>
    <w:lvl w:ilvl="0" w:tplc="4094BD54">
      <w:start w:val="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3D608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BE55400"/>
    <w:multiLevelType w:val="hybridMultilevel"/>
    <w:tmpl w:val="8E02771A"/>
    <w:lvl w:ilvl="0" w:tplc="7186C0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6"/>
  </w:num>
  <w:num w:numId="5">
    <w:abstractNumId w:val="8"/>
  </w:num>
  <w:num w:numId="6">
    <w:abstractNumId w:val="15"/>
  </w:num>
  <w:num w:numId="7">
    <w:abstractNumId w:val="18"/>
  </w:num>
  <w:num w:numId="8">
    <w:abstractNumId w:val="1"/>
  </w:num>
  <w:num w:numId="9">
    <w:abstractNumId w:val="6"/>
  </w:num>
  <w:num w:numId="10">
    <w:abstractNumId w:val="19"/>
  </w:num>
  <w:num w:numId="11">
    <w:abstractNumId w:val="9"/>
  </w:num>
  <w:num w:numId="12">
    <w:abstractNumId w:val="10"/>
  </w:num>
  <w:num w:numId="13">
    <w:abstractNumId w:val="5"/>
  </w:num>
  <w:num w:numId="14">
    <w:abstractNumId w:val="17"/>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14"/>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D9"/>
    <w:rsid w:val="00015465"/>
    <w:rsid w:val="000A243C"/>
    <w:rsid w:val="000A742E"/>
    <w:rsid w:val="001100C4"/>
    <w:rsid w:val="00120DF8"/>
    <w:rsid w:val="001212F1"/>
    <w:rsid w:val="00171C5B"/>
    <w:rsid w:val="0019570C"/>
    <w:rsid w:val="001E21D5"/>
    <w:rsid w:val="00216CA9"/>
    <w:rsid w:val="00246D1C"/>
    <w:rsid w:val="00267798"/>
    <w:rsid w:val="00297E94"/>
    <w:rsid w:val="002A29F6"/>
    <w:rsid w:val="002B71A8"/>
    <w:rsid w:val="002D2D62"/>
    <w:rsid w:val="002D4CA2"/>
    <w:rsid w:val="0032376B"/>
    <w:rsid w:val="00331EEC"/>
    <w:rsid w:val="00354964"/>
    <w:rsid w:val="00390235"/>
    <w:rsid w:val="003A3F7E"/>
    <w:rsid w:val="003B0CB1"/>
    <w:rsid w:val="00402B7A"/>
    <w:rsid w:val="00426E4E"/>
    <w:rsid w:val="004D52DC"/>
    <w:rsid w:val="00533344"/>
    <w:rsid w:val="005849AF"/>
    <w:rsid w:val="005A1926"/>
    <w:rsid w:val="005B21B6"/>
    <w:rsid w:val="005F262E"/>
    <w:rsid w:val="00622EF4"/>
    <w:rsid w:val="006234DD"/>
    <w:rsid w:val="006B36A5"/>
    <w:rsid w:val="006D6EB5"/>
    <w:rsid w:val="007146C4"/>
    <w:rsid w:val="00720F5A"/>
    <w:rsid w:val="007544FB"/>
    <w:rsid w:val="00770F3D"/>
    <w:rsid w:val="0079450C"/>
    <w:rsid w:val="007A50D9"/>
    <w:rsid w:val="007A7575"/>
    <w:rsid w:val="007F643E"/>
    <w:rsid w:val="00851569"/>
    <w:rsid w:val="00866F60"/>
    <w:rsid w:val="008C4B48"/>
    <w:rsid w:val="009055A3"/>
    <w:rsid w:val="00905620"/>
    <w:rsid w:val="00920927"/>
    <w:rsid w:val="00934381"/>
    <w:rsid w:val="0099356C"/>
    <w:rsid w:val="009A0910"/>
    <w:rsid w:val="009A3388"/>
    <w:rsid w:val="009C032A"/>
    <w:rsid w:val="009D0BF2"/>
    <w:rsid w:val="00A2586A"/>
    <w:rsid w:val="00A665A4"/>
    <w:rsid w:val="00AB50C7"/>
    <w:rsid w:val="00AD3649"/>
    <w:rsid w:val="00B13D18"/>
    <w:rsid w:val="00B24B57"/>
    <w:rsid w:val="00B6074D"/>
    <w:rsid w:val="00BD412E"/>
    <w:rsid w:val="00BE218C"/>
    <w:rsid w:val="00C108E3"/>
    <w:rsid w:val="00C20D08"/>
    <w:rsid w:val="00C30A27"/>
    <w:rsid w:val="00C34958"/>
    <w:rsid w:val="00C462C4"/>
    <w:rsid w:val="00CF22FC"/>
    <w:rsid w:val="00DA12B4"/>
    <w:rsid w:val="00DD2F9B"/>
    <w:rsid w:val="00E234D3"/>
    <w:rsid w:val="00E3182A"/>
    <w:rsid w:val="00E403DC"/>
    <w:rsid w:val="00E60B51"/>
    <w:rsid w:val="00E70874"/>
    <w:rsid w:val="00E971FC"/>
    <w:rsid w:val="00EA6C8B"/>
    <w:rsid w:val="00F5470E"/>
    <w:rsid w:val="00FB75D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4127C20-AD79-4E3A-948F-D618E4DC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BD"/>
    <w:rPr>
      <w:sz w:val="24"/>
      <w:szCs w:val="24"/>
      <w:lang w:eastAsia="en-US"/>
    </w:rPr>
  </w:style>
  <w:style w:type="paragraph" w:styleId="Titre2">
    <w:name w:val="heading 2"/>
    <w:basedOn w:val="Normal"/>
    <w:next w:val="Normal"/>
    <w:link w:val="Titre2Car"/>
    <w:qFormat/>
    <w:rsid w:val="00AD3649"/>
    <w:pPr>
      <w:keepNext/>
      <w:outlineLvl w:val="1"/>
    </w:pPr>
    <w:rPr>
      <w:rFonts w:ascii="Verdana" w:eastAsia="Times New Roman" w:hAnsi="Verdana"/>
      <w:b/>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29F6"/>
    <w:pPr>
      <w:spacing w:after="200" w:line="276" w:lineRule="auto"/>
      <w:ind w:left="720"/>
      <w:contextualSpacing/>
    </w:pPr>
    <w:rPr>
      <w:rFonts w:ascii="Calibri" w:eastAsia="Calibri" w:hAnsi="Calibri"/>
      <w:sz w:val="22"/>
      <w:szCs w:val="22"/>
    </w:rPr>
  </w:style>
  <w:style w:type="paragraph" w:styleId="En-tte">
    <w:name w:val="header"/>
    <w:basedOn w:val="Normal"/>
    <w:link w:val="En-tteCar"/>
    <w:uiPriority w:val="99"/>
    <w:unhideWhenUsed/>
    <w:rsid w:val="00426E4E"/>
    <w:pPr>
      <w:tabs>
        <w:tab w:val="center" w:pos="4536"/>
        <w:tab w:val="right" w:pos="9072"/>
      </w:tabs>
    </w:pPr>
  </w:style>
  <w:style w:type="character" w:customStyle="1" w:styleId="En-tteCar">
    <w:name w:val="En-tête Car"/>
    <w:basedOn w:val="Policepardfaut"/>
    <w:link w:val="En-tte"/>
    <w:uiPriority w:val="99"/>
    <w:rsid w:val="00426E4E"/>
  </w:style>
  <w:style w:type="paragraph" w:styleId="Pieddepage">
    <w:name w:val="footer"/>
    <w:basedOn w:val="Normal"/>
    <w:link w:val="PieddepageCar"/>
    <w:uiPriority w:val="99"/>
    <w:unhideWhenUsed/>
    <w:rsid w:val="00426E4E"/>
    <w:pPr>
      <w:tabs>
        <w:tab w:val="center" w:pos="4536"/>
        <w:tab w:val="right" w:pos="9072"/>
      </w:tabs>
    </w:pPr>
  </w:style>
  <w:style w:type="character" w:customStyle="1" w:styleId="PieddepageCar">
    <w:name w:val="Pied de page Car"/>
    <w:basedOn w:val="Policepardfaut"/>
    <w:link w:val="Pieddepage"/>
    <w:uiPriority w:val="99"/>
    <w:rsid w:val="00426E4E"/>
  </w:style>
  <w:style w:type="paragraph" w:styleId="Textedebulles">
    <w:name w:val="Balloon Text"/>
    <w:basedOn w:val="Normal"/>
    <w:link w:val="TextedebullesCar"/>
    <w:uiPriority w:val="99"/>
    <w:semiHidden/>
    <w:unhideWhenUsed/>
    <w:rsid w:val="00426E4E"/>
    <w:rPr>
      <w:rFonts w:ascii="Tahoma" w:hAnsi="Tahoma" w:cs="Tahoma"/>
      <w:sz w:val="16"/>
      <w:szCs w:val="16"/>
    </w:rPr>
  </w:style>
  <w:style w:type="character" w:customStyle="1" w:styleId="TextedebullesCar">
    <w:name w:val="Texte de bulles Car"/>
    <w:link w:val="Textedebulles"/>
    <w:uiPriority w:val="99"/>
    <w:semiHidden/>
    <w:rsid w:val="00426E4E"/>
    <w:rPr>
      <w:rFonts w:ascii="Tahoma" w:hAnsi="Tahoma" w:cs="Tahoma"/>
      <w:sz w:val="16"/>
      <w:szCs w:val="16"/>
    </w:rPr>
  </w:style>
  <w:style w:type="character" w:customStyle="1" w:styleId="Titre2Car">
    <w:name w:val="Titre 2 Car"/>
    <w:basedOn w:val="Policepardfaut"/>
    <w:link w:val="Titre2"/>
    <w:rsid w:val="00AD3649"/>
    <w:rPr>
      <w:rFonts w:ascii="Verdana" w:eastAsia="Times New Roman" w:hAnsi="Verdana"/>
      <w:b/>
      <w:u w:val="single"/>
    </w:rPr>
  </w:style>
  <w:style w:type="paragraph" w:styleId="Corpsdetexte">
    <w:name w:val="Body Text"/>
    <w:basedOn w:val="Normal"/>
    <w:link w:val="CorpsdetexteCar"/>
    <w:rsid w:val="00AD3649"/>
    <w:pPr>
      <w:jc w:val="both"/>
    </w:pPr>
    <w:rPr>
      <w:rFonts w:ascii="Helvetica (PCL6)" w:eastAsia="Times New Roman" w:hAnsi="Helvetica (PCL6)"/>
      <w:sz w:val="20"/>
      <w:szCs w:val="20"/>
      <w:lang w:eastAsia="fr-FR"/>
    </w:rPr>
  </w:style>
  <w:style w:type="character" w:customStyle="1" w:styleId="CorpsdetexteCar">
    <w:name w:val="Corps de texte Car"/>
    <w:basedOn w:val="Policepardfaut"/>
    <w:link w:val="Corpsdetexte"/>
    <w:rsid w:val="00AD3649"/>
    <w:rPr>
      <w:rFonts w:ascii="Helvetica (PCL6)" w:eastAsia="Times New Roman" w:hAnsi="Helvetica (PCL6)"/>
    </w:rPr>
  </w:style>
  <w:style w:type="paragraph" w:styleId="Corpsdetexte2">
    <w:name w:val="Body Text 2"/>
    <w:basedOn w:val="Normal"/>
    <w:link w:val="Corpsdetexte2Car"/>
    <w:uiPriority w:val="99"/>
    <w:semiHidden/>
    <w:unhideWhenUsed/>
    <w:rsid w:val="00C34958"/>
    <w:pPr>
      <w:spacing w:after="120" w:line="480" w:lineRule="auto"/>
    </w:pPr>
  </w:style>
  <w:style w:type="character" w:customStyle="1" w:styleId="Corpsdetexte2Car">
    <w:name w:val="Corps de texte 2 Car"/>
    <w:basedOn w:val="Policepardfaut"/>
    <w:link w:val="Corpsdetexte2"/>
    <w:uiPriority w:val="99"/>
    <w:semiHidden/>
    <w:rsid w:val="00C34958"/>
    <w:rPr>
      <w:sz w:val="24"/>
      <w:szCs w:val="24"/>
      <w:lang w:eastAsia="en-US"/>
    </w:rPr>
  </w:style>
  <w:style w:type="table" w:styleId="Grilledutableau">
    <w:name w:val="Table Grid"/>
    <w:basedOn w:val="TableauNormal"/>
    <w:uiPriority w:val="99"/>
    <w:rsid w:val="00C349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3237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82796">
      <w:bodyDiv w:val="1"/>
      <w:marLeft w:val="0"/>
      <w:marRight w:val="0"/>
      <w:marTop w:val="0"/>
      <w:marBottom w:val="0"/>
      <w:divBdr>
        <w:top w:val="none" w:sz="0" w:space="0" w:color="auto"/>
        <w:left w:val="none" w:sz="0" w:space="0" w:color="auto"/>
        <w:bottom w:val="none" w:sz="0" w:space="0" w:color="auto"/>
        <w:right w:val="none" w:sz="0" w:space="0" w:color="auto"/>
      </w:divBdr>
    </w:div>
    <w:div w:id="2145392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03-%20STACBA\D-COMITE%20SYNDICAL\MODELE%20DELIBERATIONS%20201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6DB8-3ED4-4922-846F-56C7AD9D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DELIBERATIONS 2019</Template>
  <TotalTime>2</TotalTime>
  <Pages>2</Pages>
  <Words>691</Words>
  <Characters>3802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Syndicat des Transports de l'Agglomération Côte basqu</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l.cimolai</dc:creator>
  <cp:keywords/>
  <cp:lastModifiedBy>l.cimolai</cp:lastModifiedBy>
  <cp:revision>4</cp:revision>
  <cp:lastPrinted>2019-04-09T08:23:00Z</cp:lastPrinted>
  <dcterms:created xsi:type="dcterms:W3CDTF">2019-04-08T09:57:00Z</dcterms:created>
  <dcterms:modified xsi:type="dcterms:W3CDTF">2019-04-09T08:23:00Z</dcterms:modified>
</cp:coreProperties>
</file>