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71842" w14:textId="77777777" w:rsidR="00E234D3" w:rsidRDefault="00E234D3" w:rsidP="00E234D3">
      <w:pPr>
        <w:jc w:val="center"/>
        <w:rPr>
          <w:rFonts w:ascii="Arial Narrow" w:hAnsi="Arial Narrow" w:cs="Arial"/>
          <w:b/>
          <w:sz w:val="22"/>
          <w:szCs w:val="22"/>
        </w:rPr>
      </w:pPr>
      <w:bookmarkStart w:id="0" w:name="_GoBack"/>
      <w:bookmarkEnd w:id="0"/>
      <w:r w:rsidRPr="00DD2F9B">
        <w:rPr>
          <w:rFonts w:ascii="Arial Narrow" w:hAnsi="Arial Narrow" w:cs="Arial"/>
          <w:b/>
          <w:sz w:val="22"/>
          <w:szCs w:val="22"/>
        </w:rPr>
        <w:t xml:space="preserve">SEANCE DU </w:t>
      </w:r>
      <w:r w:rsidR="001C6499">
        <w:rPr>
          <w:rFonts w:ascii="Arial Narrow" w:hAnsi="Arial Narrow" w:cs="Arial"/>
          <w:b/>
          <w:sz w:val="22"/>
          <w:szCs w:val="22"/>
        </w:rPr>
        <w:t>6 FEVRIER</w:t>
      </w:r>
      <w:r w:rsidR="00C20D08" w:rsidRPr="00DD2F9B">
        <w:rPr>
          <w:rFonts w:ascii="Arial Narrow" w:hAnsi="Arial Narrow" w:cs="Arial"/>
          <w:b/>
          <w:sz w:val="22"/>
          <w:szCs w:val="22"/>
        </w:rPr>
        <w:t xml:space="preserve"> </w:t>
      </w:r>
      <w:r w:rsidR="00A748C4">
        <w:rPr>
          <w:rFonts w:ascii="Arial Narrow" w:hAnsi="Arial Narrow" w:cs="Arial"/>
          <w:b/>
          <w:sz w:val="22"/>
          <w:szCs w:val="22"/>
        </w:rPr>
        <w:t>2020</w:t>
      </w:r>
    </w:p>
    <w:p w14:paraId="794F5C60" w14:textId="77777777" w:rsidR="00BA07AB" w:rsidRPr="00DD2F9B" w:rsidRDefault="00BA07AB" w:rsidP="00E234D3">
      <w:pPr>
        <w:jc w:val="center"/>
        <w:rPr>
          <w:rFonts w:ascii="Arial Narrow" w:hAnsi="Arial Narrow" w:cs="Arial"/>
          <w:b/>
          <w:sz w:val="22"/>
          <w:szCs w:val="22"/>
        </w:rPr>
      </w:pPr>
    </w:p>
    <w:tbl>
      <w:tblPr>
        <w:tblW w:w="9648" w:type="dxa"/>
        <w:tblCellMar>
          <w:left w:w="70" w:type="dxa"/>
          <w:right w:w="70" w:type="dxa"/>
        </w:tblCellMar>
        <w:tblLook w:val="04A0" w:firstRow="1" w:lastRow="0" w:firstColumn="1" w:lastColumn="0" w:noHBand="0" w:noVBand="1"/>
      </w:tblPr>
      <w:tblGrid>
        <w:gridCol w:w="3548"/>
        <w:gridCol w:w="3818"/>
        <w:gridCol w:w="2268"/>
        <w:gridCol w:w="14"/>
      </w:tblGrid>
      <w:tr w:rsidR="00BA07AB" w:rsidRPr="006603F4" w14:paraId="1E724A97" w14:textId="77777777" w:rsidTr="00552FAC">
        <w:trPr>
          <w:gridAfter w:val="1"/>
          <w:wAfter w:w="14" w:type="dxa"/>
          <w:trHeight w:val="227"/>
        </w:trPr>
        <w:tc>
          <w:tcPr>
            <w:tcW w:w="7366" w:type="dxa"/>
            <w:gridSpan w:val="2"/>
            <w:tcBorders>
              <w:top w:val="single" w:sz="4" w:space="0" w:color="auto"/>
              <w:left w:val="single" w:sz="4" w:space="0" w:color="auto"/>
              <w:bottom w:val="nil"/>
              <w:right w:val="single" w:sz="4" w:space="0" w:color="auto"/>
            </w:tcBorders>
            <w:shd w:val="clear" w:color="000000" w:fill="EEECE1"/>
            <w:noWrap/>
            <w:vAlign w:val="center"/>
            <w:hideMark/>
          </w:tcPr>
          <w:p w14:paraId="090A8C9A" w14:textId="77777777" w:rsidR="00BA07AB" w:rsidRPr="006603F4" w:rsidRDefault="00BA07AB" w:rsidP="00552FAC">
            <w:pPr>
              <w:jc w:val="center"/>
              <w:rPr>
                <w:rFonts w:ascii="Calibri Light" w:eastAsia="Times New Roman" w:hAnsi="Calibri Light" w:cs="Calibri Light"/>
                <w:color w:val="000000"/>
                <w:sz w:val="22"/>
                <w:szCs w:val="22"/>
                <w:lang w:eastAsia="fr-FR"/>
              </w:rPr>
            </w:pPr>
            <w:r w:rsidRPr="006603F4">
              <w:rPr>
                <w:rFonts w:ascii="Calibri Light" w:eastAsia="Times New Roman" w:hAnsi="Calibri Light" w:cs="Calibri Light"/>
                <w:color w:val="000000"/>
                <w:sz w:val="22"/>
                <w:szCs w:val="22"/>
                <w:lang w:eastAsia="fr-FR"/>
              </w:rPr>
              <w:t xml:space="preserve">Titulaires présents </w:t>
            </w:r>
          </w:p>
        </w:tc>
        <w:tc>
          <w:tcPr>
            <w:tcW w:w="2268" w:type="dxa"/>
            <w:tcBorders>
              <w:top w:val="single" w:sz="4" w:space="0" w:color="auto"/>
              <w:left w:val="nil"/>
              <w:bottom w:val="nil"/>
              <w:right w:val="single" w:sz="4" w:space="0" w:color="auto"/>
            </w:tcBorders>
            <w:shd w:val="clear" w:color="000000" w:fill="EEECE1"/>
            <w:noWrap/>
            <w:vAlign w:val="center"/>
            <w:hideMark/>
          </w:tcPr>
          <w:p w14:paraId="74C0AB23" w14:textId="77777777" w:rsidR="00BA07AB" w:rsidRPr="006603F4" w:rsidRDefault="00BA07AB" w:rsidP="00552FAC">
            <w:pPr>
              <w:jc w:val="center"/>
              <w:rPr>
                <w:rFonts w:ascii="Calibri Light" w:eastAsia="Times New Roman" w:hAnsi="Calibri Light" w:cs="Calibri Light"/>
                <w:color w:val="000000"/>
                <w:sz w:val="22"/>
                <w:szCs w:val="22"/>
                <w:lang w:eastAsia="fr-FR"/>
              </w:rPr>
            </w:pPr>
            <w:r w:rsidRPr="006603F4">
              <w:rPr>
                <w:rFonts w:ascii="Calibri Light" w:eastAsia="Times New Roman" w:hAnsi="Calibri Light" w:cs="Calibri Light"/>
                <w:color w:val="000000"/>
                <w:sz w:val="22"/>
                <w:szCs w:val="22"/>
                <w:lang w:eastAsia="fr-FR"/>
              </w:rPr>
              <w:t xml:space="preserve">Excusés </w:t>
            </w:r>
          </w:p>
        </w:tc>
      </w:tr>
      <w:tr w:rsidR="00BA07AB" w:rsidRPr="006603F4" w14:paraId="0F8FCB8F" w14:textId="77777777" w:rsidTr="00552FAC">
        <w:trPr>
          <w:gridAfter w:val="1"/>
          <w:wAfter w:w="14" w:type="dxa"/>
          <w:trHeight w:val="227"/>
        </w:trPr>
        <w:tc>
          <w:tcPr>
            <w:tcW w:w="3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4337C" w14:textId="77777777" w:rsidR="00BA07AB" w:rsidRPr="006603F4" w:rsidRDefault="00BA07AB" w:rsidP="00552FAC">
            <w:pPr>
              <w:jc w:val="both"/>
              <w:rPr>
                <w:rFonts w:ascii="Arial Narrow" w:eastAsia="Times New Roman" w:hAnsi="Arial Narrow" w:cs="Calibri"/>
                <w:sz w:val="18"/>
                <w:szCs w:val="18"/>
                <w:lang w:eastAsia="fr-FR"/>
              </w:rPr>
            </w:pPr>
            <w:r w:rsidRPr="006603F4">
              <w:rPr>
                <w:rFonts w:ascii="Arial Narrow" w:eastAsia="Times New Roman" w:hAnsi="Arial Narrow" w:cs="Calibri"/>
                <w:sz w:val="18"/>
                <w:szCs w:val="18"/>
                <w:lang w:eastAsia="fr-FR"/>
              </w:rPr>
              <w:t>ALZURI Emmanuel</w:t>
            </w:r>
          </w:p>
        </w:tc>
        <w:tc>
          <w:tcPr>
            <w:tcW w:w="3818" w:type="dxa"/>
            <w:tcBorders>
              <w:top w:val="single" w:sz="4" w:space="0" w:color="auto"/>
              <w:left w:val="nil"/>
              <w:bottom w:val="single" w:sz="4" w:space="0" w:color="auto"/>
              <w:right w:val="single" w:sz="4" w:space="0" w:color="auto"/>
            </w:tcBorders>
            <w:shd w:val="clear" w:color="auto" w:fill="auto"/>
            <w:noWrap/>
            <w:vAlign w:val="center"/>
            <w:hideMark/>
          </w:tcPr>
          <w:p w14:paraId="3357F177" w14:textId="77777777" w:rsidR="00BA07AB" w:rsidRPr="006603F4" w:rsidRDefault="00BA07AB" w:rsidP="00552FAC">
            <w:pPr>
              <w:jc w:val="both"/>
              <w:rPr>
                <w:rFonts w:ascii="Arial Narrow" w:eastAsia="Times New Roman" w:hAnsi="Arial Narrow" w:cs="Calibri"/>
                <w:sz w:val="18"/>
                <w:szCs w:val="18"/>
                <w:lang w:eastAsia="fr-FR"/>
              </w:rPr>
            </w:pPr>
            <w:r w:rsidRPr="006603F4">
              <w:rPr>
                <w:rFonts w:ascii="Arial Narrow" w:eastAsia="Times New Roman" w:hAnsi="Arial Narrow" w:cs="Calibri"/>
                <w:sz w:val="18"/>
                <w:szCs w:val="18"/>
                <w:lang w:eastAsia="fr-FR"/>
              </w:rPr>
              <w:t>JUHEL Laurent</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4FD73EC4" w14:textId="77777777" w:rsidR="00BA07AB" w:rsidRPr="006603F4" w:rsidRDefault="00BA07AB" w:rsidP="00552FAC">
            <w:pPr>
              <w:jc w:val="both"/>
              <w:rPr>
                <w:rFonts w:ascii="Arial Narrow" w:eastAsia="Times New Roman" w:hAnsi="Arial Narrow" w:cs="Calibri"/>
                <w:sz w:val="18"/>
                <w:szCs w:val="18"/>
                <w:lang w:eastAsia="fr-FR"/>
              </w:rPr>
            </w:pPr>
            <w:r w:rsidRPr="006603F4">
              <w:rPr>
                <w:rFonts w:ascii="Arial Narrow" w:eastAsia="Times New Roman" w:hAnsi="Arial Narrow" w:cs="Calibri"/>
                <w:sz w:val="18"/>
                <w:szCs w:val="18"/>
                <w:lang w:eastAsia="fr-FR"/>
              </w:rPr>
              <w:t>BISAUTA Martine</w:t>
            </w:r>
          </w:p>
        </w:tc>
      </w:tr>
      <w:tr w:rsidR="00BA07AB" w:rsidRPr="006603F4" w14:paraId="6C59324C" w14:textId="77777777" w:rsidTr="00552FAC">
        <w:trPr>
          <w:gridAfter w:val="1"/>
          <w:wAfter w:w="14" w:type="dxa"/>
          <w:trHeight w:val="227"/>
        </w:trPr>
        <w:tc>
          <w:tcPr>
            <w:tcW w:w="3548" w:type="dxa"/>
            <w:tcBorders>
              <w:top w:val="nil"/>
              <w:left w:val="single" w:sz="4" w:space="0" w:color="auto"/>
              <w:bottom w:val="single" w:sz="4" w:space="0" w:color="auto"/>
              <w:right w:val="single" w:sz="4" w:space="0" w:color="auto"/>
            </w:tcBorders>
            <w:shd w:val="clear" w:color="auto" w:fill="auto"/>
            <w:noWrap/>
            <w:vAlign w:val="center"/>
            <w:hideMark/>
          </w:tcPr>
          <w:p w14:paraId="1A80E513" w14:textId="77777777" w:rsidR="00BA07AB" w:rsidRPr="006603F4" w:rsidRDefault="00BA07AB" w:rsidP="00552FAC">
            <w:pPr>
              <w:jc w:val="both"/>
              <w:rPr>
                <w:rFonts w:ascii="Arial Narrow" w:eastAsia="Times New Roman" w:hAnsi="Arial Narrow" w:cs="Calibri"/>
                <w:sz w:val="18"/>
                <w:szCs w:val="18"/>
                <w:lang w:eastAsia="fr-FR"/>
              </w:rPr>
            </w:pPr>
            <w:r w:rsidRPr="006603F4">
              <w:rPr>
                <w:rFonts w:ascii="Arial Narrow" w:eastAsia="Times New Roman" w:hAnsi="Arial Narrow" w:cs="Calibri"/>
                <w:sz w:val="18"/>
                <w:szCs w:val="18"/>
                <w:lang w:eastAsia="fr-FR"/>
              </w:rPr>
              <w:t>BAUDRY Paul</w:t>
            </w:r>
          </w:p>
        </w:tc>
        <w:tc>
          <w:tcPr>
            <w:tcW w:w="3818" w:type="dxa"/>
            <w:tcBorders>
              <w:top w:val="nil"/>
              <w:left w:val="nil"/>
              <w:bottom w:val="single" w:sz="4" w:space="0" w:color="auto"/>
              <w:right w:val="single" w:sz="4" w:space="0" w:color="auto"/>
            </w:tcBorders>
            <w:shd w:val="clear" w:color="auto" w:fill="auto"/>
            <w:noWrap/>
            <w:vAlign w:val="center"/>
            <w:hideMark/>
          </w:tcPr>
          <w:p w14:paraId="5DE0BF40" w14:textId="77777777" w:rsidR="00BA07AB" w:rsidRPr="006603F4" w:rsidRDefault="00BA07AB" w:rsidP="00552FAC">
            <w:pPr>
              <w:jc w:val="both"/>
              <w:rPr>
                <w:rFonts w:ascii="Arial Narrow" w:eastAsia="Times New Roman" w:hAnsi="Arial Narrow" w:cs="Calibri"/>
                <w:sz w:val="18"/>
                <w:szCs w:val="18"/>
                <w:lang w:eastAsia="fr-FR"/>
              </w:rPr>
            </w:pPr>
            <w:r w:rsidRPr="006603F4">
              <w:rPr>
                <w:rFonts w:ascii="Arial Narrow" w:eastAsia="Times New Roman" w:hAnsi="Arial Narrow" w:cs="Calibri"/>
                <w:sz w:val="18"/>
                <w:szCs w:val="18"/>
                <w:lang w:eastAsia="fr-FR"/>
              </w:rPr>
              <w:t>KEHRIG COTTENÇON Chantal</w:t>
            </w:r>
          </w:p>
        </w:tc>
        <w:tc>
          <w:tcPr>
            <w:tcW w:w="2268" w:type="dxa"/>
            <w:tcBorders>
              <w:top w:val="nil"/>
              <w:left w:val="nil"/>
              <w:bottom w:val="single" w:sz="4" w:space="0" w:color="auto"/>
              <w:right w:val="single" w:sz="4" w:space="0" w:color="auto"/>
            </w:tcBorders>
            <w:shd w:val="clear" w:color="auto" w:fill="auto"/>
            <w:noWrap/>
            <w:vAlign w:val="center"/>
            <w:hideMark/>
          </w:tcPr>
          <w:p w14:paraId="1215E0AE" w14:textId="77777777" w:rsidR="00BA07AB" w:rsidRPr="006603F4" w:rsidRDefault="00BA07AB" w:rsidP="00552FAC">
            <w:pPr>
              <w:jc w:val="both"/>
              <w:rPr>
                <w:rFonts w:ascii="Arial Narrow" w:eastAsia="Times New Roman" w:hAnsi="Arial Narrow" w:cs="Calibri"/>
                <w:sz w:val="18"/>
                <w:szCs w:val="18"/>
                <w:lang w:eastAsia="fr-FR"/>
              </w:rPr>
            </w:pPr>
            <w:r w:rsidRPr="006603F4">
              <w:rPr>
                <w:rFonts w:ascii="Arial Narrow" w:eastAsia="Times New Roman" w:hAnsi="Arial Narrow" w:cs="Calibri"/>
                <w:sz w:val="18"/>
                <w:szCs w:val="18"/>
                <w:lang w:eastAsia="fr-FR"/>
              </w:rPr>
              <w:t>BONNAMY Eric</w:t>
            </w:r>
          </w:p>
        </w:tc>
      </w:tr>
      <w:tr w:rsidR="00BA07AB" w:rsidRPr="006603F4" w14:paraId="13568479" w14:textId="77777777" w:rsidTr="00552FAC">
        <w:trPr>
          <w:gridAfter w:val="1"/>
          <w:wAfter w:w="14" w:type="dxa"/>
          <w:trHeight w:val="227"/>
        </w:trPr>
        <w:tc>
          <w:tcPr>
            <w:tcW w:w="3548" w:type="dxa"/>
            <w:tcBorders>
              <w:top w:val="nil"/>
              <w:left w:val="single" w:sz="4" w:space="0" w:color="auto"/>
              <w:bottom w:val="single" w:sz="4" w:space="0" w:color="auto"/>
              <w:right w:val="single" w:sz="4" w:space="0" w:color="auto"/>
            </w:tcBorders>
            <w:shd w:val="clear" w:color="auto" w:fill="auto"/>
            <w:noWrap/>
            <w:vAlign w:val="center"/>
            <w:hideMark/>
          </w:tcPr>
          <w:p w14:paraId="34EB8B91" w14:textId="77777777" w:rsidR="00BA07AB" w:rsidRPr="006603F4" w:rsidRDefault="00BA07AB" w:rsidP="00552FAC">
            <w:pPr>
              <w:jc w:val="both"/>
              <w:rPr>
                <w:rFonts w:ascii="Arial Narrow" w:eastAsia="Times New Roman" w:hAnsi="Arial Narrow" w:cs="Calibri"/>
                <w:sz w:val="18"/>
                <w:szCs w:val="18"/>
                <w:lang w:eastAsia="fr-FR"/>
              </w:rPr>
            </w:pPr>
            <w:r w:rsidRPr="006603F4">
              <w:rPr>
                <w:rFonts w:ascii="Arial Narrow" w:eastAsia="Times New Roman" w:hAnsi="Arial Narrow" w:cs="Calibri"/>
                <w:sz w:val="18"/>
                <w:szCs w:val="18"/>
                <w:lang w:eastAsia="fr-FR"/>
              </w:rPr>
              <w:t>CHARRON Martine</w:t>
            </w:r>
          </w:p>
        </w:tc>
        <w:tc>
          <w:tcPr>
            <w:tcW w:w="3818" w:type="dxa"/>
            <w:tcBorders>
              <w:top w:val="nil"/>
              <w:left w:val="nil"/>
              <w:bottom w:val="single" w:sz="4" w:space="0" w:color="auto"/>
              <w:right w:val="single" w:sz="4" w:space="0" w:color="auto"/>
            </w:tcBorders>
            <w:shd w:val="clear" w:color="auto" w:fill="auto"/>
            <w:noWrap/>
            <w:vAlign w:val="center"/>
            <w:hideMark/>
          </w:tcPr>
          <w:p w14:paraId="4B55FA30" w14:textId="77777777" w:rsidR="00BA07AB" w:rsidRPr="006603F4" w:rsidRDefault="00BA07AB" w:rsidP="00552FAC">
            <w:pPr>
              <w:jc w:val="both"/>
              <w:rPr>
                <w:rFonts w:ascii="Arial Narrow" w:eastAsia="Times New Roman" w:hAnsi="Arial Narrow" w:cs="Calibri"/>
                <w:sz w:val="18"/>
                <w:szCs w:val="18"/>
                <w:lang w:eastAsia="fr-FR"/>
              </w:rPr>
            </w:pPr>
            <w:r w:rsidRPr="006603F4">
              <w:rPr>
                <w:rFonts w:ascii="Arial Narrow" w:eastAsia="Times New Roman" w:hAnsi="Arial Narrow" w:cs="Calibri"/>
                <w:sz w:val="18"/>
                <w:szCs w:val="18"/>
                <w:lang w:eastAsia="fr-FR"/>
              </w:rPr>
              <w:t>LAFLAQUIERE Jean-Pierre</w:t>
            </w:r>
            <w:r>
              <w:rPr>
                <w:rFonts w:ascii="Arial Narrow" w:eastAsia="Times New Roman" w:hAnsi="Arial Narrow" w:cs="Calibri"/>
                <w:sz w:val="18"/>
                <w:szCs w:val="18"/>
                <w:lang w:eastAsia="fr-FR"/>
              </w:rPr>
              <w:t xml:space="preserve"> (à partir du rapport n°5)</w:t>
            </w:r>
          </w:p>
        </w:tc>
        <w:tc>
          <w:tcPr>
            <w:tcW w:w="2268" w:type="dxa"/>
            <w:tcBorders>
              <w:top w:val="nil"/>
              <w:left w:val="nil"/>
              <w:bottom w:val="single" w:sz="4" w:space="0" w:color="auto"/>
              <w:right w:val="single" w:sz="4" w:space="0" w:color="auto"/>
            </w:tcBorders>
            <w:shd w:val="clear" w:color="auto" w:fill="auto"/>
            <w:noWrap/>
            <w:vAlign w:val="center"/>
            <w:hideMark/>
          </w:tcPr>
          <w:p w14:paraId="3C6BEC56" w14:textId="77777777" w:rsidR="00BA07AB" w:rsidRPr="006603F4" w:rsidRDefault="00BA07AB" w:rsidP="00552FAC">
            <w:pPr>
              <w:jc w:val="both"/>
              <w:rPr>
                <w:rFonts w:ascii="Arial Narrow" w:eastAsia="Times New Roman" w:hAnsi="Arial Narrow" w:cs="Calibri"/>
                <w:sz w:val="18"/>
                <w:szCs w:val="18"/>
                <w:lang w:eastAsia="fr-FR"/>
              </w:rPr>
            </w:pPr>
            <w:r w:rsidRPr="006603F4">
              <w:rPr>
                <w:rFonts w:ascii="Arial Narrow" w:eastAsia="Times New Roman" w:hAnsi="Arial Narrow" w:cs="Calibri"/>
                <w:sz w:val="18"/>
                <w:szCs w:val="18"/>
                <w:lang w:eastAsia="fr-FR"/>
              </w:rPr>
              <w:t>CACHENAUT Bernard</w:t>
            </w:r>
          </w:p>
        </w:tc>
      </w:tr>
      <w:tr w:rsidR="00BA07AB" w:rsidRPr="006603F4" w14:paraId="49475BCD" w14:textId="77777777" w:rsidTr="00552FAC">
        <w:trPr>
          <w:gridAfter w:val="1"/>
          <w:wAfter w:w="14" w:type="dxa"/>
          <w:trHeight w:val="227"/>
        </w:trPr>
        <w:tc>
          <w:tcPr>
            <w:tcW w:w="3548" w:type="dxa"/>
            <w:tcBorders>
              <w:top w:val="nil"/>
              <w:left w:val="single" w:sz="4" w:space="0" w:color="auto"/>
              <w:bottom w:val="single" w:sz="4" w:space="0" w:color="auto"/>
              <w:right w:val="single" w:sz="4" w:space="0" w:color="auto"/>
            </w:tcBorders>
            <w:shd w:val="clear" w:color="auto" w:fill="auto"/>
            <w:noWrap/>
            <w:vAlign w:val="center"/>
            <w:hideMark/>
          </w:tcPr>
          <w:p w14:paraId="7924D8A4" w14:textId="77777777" w:rsidR="00BA07AB" w:rsidRPr="006603F4" w:rsidRDefault="00BA07AB" w:rsidP="00552FAC">
            <w:pPr>
              <w:jc w:val="both"/>
              <w:rPr>
                <w:rFonts w:ascii="Arial Narrow" w:eastAsia="Times New Roman" w:hAnsi="Arial Narrow" w:cs="Calibri"/>
                <w:sz w:val="18"/>
                <w:szCs w:val="18"/>
                <w:lang w:eastAsia="fr-FR"/>
              </w:rPr>
            </w:pPr>
            <w:r w:rsidRPr="006603F4">
              <w:rPr>
                <w:rFonts w:ascii="Arial Narrow" w:eastAsia="Times New Roman" w:hAnsi="Arial Narrow" w:cs="Calibri"/>
                <w:sz w:val="18"/>
                <w:szCs w:val="18"/>
                <w:lang w:eastAsia="fr-FR"/>
              </w:rPr>
              <w:t>DAGORRET François</w:t>
            </w:r>
          </w:p>
        </w:tc>
        <w:tc>
          <w:tcPr>
            <w:tcW w:w="3818" w:type="dxa"/>
            <w:tcBorders>
              <w:top w:val="nil"/>
              <w:left w:val="nil"/>
              <w:bottom w:val="single" w:sz="4" w:space="0" w:color="auto"/>
              <w:right w:val="single" w:sz="4" w:space="0" w:color="auto"/>
            </w:tcBorders>
            <w:shd w:val="clear" w:color="auto" w:fill="auto"/>
            <w:noWrap/>
            <w:vAlign w:val="center"/>
            <w:hideMark/>
          </w:tcPr>
          <w:p w14:paraId="1597FEBF" w14:textId="77777777" w:rsidR="00BA07AB" w:rsidRPr="006603F4" w:rsidRDefault="00BA07AB" w:rsidP="00552FAC">
            <w:pPr>
              <w:jc w:val="both"/>
              <w:rPr>
                <w:rFonts w:ascii="Arial Narrow" w:eastAsia="Times New Roman" w:hAnsi="Arial Narrow" w:cs="Calibri"/>
                <w:color w:val="000000"/>
                <w:sz w:val="18"/>
                <w:szCs w:val="18"/>
                <w:lang w:eastAsia="fr-FR"/>
              </w:rPr>
            </w:pPr>
            <w:r w:rsidRPr="006603F4">
              <w:rPr>
                <w:rFonts w:ascii="Arial Narrow" w:eastAsia="Times New Roman" w:hAnsi="Arial Narrow" w:cs="Calibri"/>
                <w:color w:val="000000"/>
                <w:sz w:val="18"/>
                <w:szCs w:val="18"/>
                <w:lang w:eastAsia="fr-FR"/>
              </w:rPr>
              <w:t>LESPADE Jean-Marc</w:t>
            </w:r>
          </w:p>
        </w:tc>
        <w:tc>
          <w:tcPr>
            <w:tcW w:w="2268" w:type="dxa"/>
            <w:tcBorders>
              <w:top w:val="nil"/>
              <w:left w:val="nil"/>
              <w:bottom w:val="single" w:sz="4" w:space="0" w:color="auto"/>
              <w:right w:val="single" w:sz="4" w:space="0" w:color="auto"/>
            </w:tcBorders>
            <w:shd w:val="clear" w:color="auto" w:fill="auto"/>
            <w:noWrap/>
            <w:vAlign w:val="center"/>
            <w:hideMark/>
          </w:tcPr>
          <w:p w14:paraId="03149FE9" w14:textId="77777777" w:rsidR="00BA07AB" w:rsidRPr="006603F4" w:rsidRDefault="00BA07AB" w:rsidP="00552FAC">
            <w:pPr>
              <w:jc w:val="both"/>
              <w:rPr>
                <w:rFonts w:ascii="Arial Narrow" w:eastAsia="Times New Roman" w:hAnsi="Arial Narrow" w:cs="Calibri"/>
                <w:sz w:val="18"/>
                <w:szCs w:val="18"/>
                <w:lang w:eastAsia="fr-FR"/>
              </w:rPr>
            </w:pPr>
            <w:r w:rsidRPr="006603F4">
              <w:rPr>
                <w:rFonts w:ascii="Arial Narrow" w:eastAsia="Times New Roman" w:hAnsi="Arial Narrow" w:cs="Calibri"/>
                <w:sz w:val="18"/>
                <w:szCs w:val="18"/>
                <w:lang w:eastAsia="fr-FR"/>
              </w:rPr>
              <w:t>CARASCO Olivier</w:t>
            </w:r>
          </w:p>
        </w:tc>
      </w:tr>
      <w:tr w:rsidR="00BA07AB" w:rsidRPr="006603F4" w14:paraId="2EE3533E" w14:textId="77777777" w:rsidTr="00552FAC">
        <w:trPr>
          <w:gridAfter w:val="1"/>
          <w:wAfter w:w="14" w:type="dxa"/>
          <w:trHeight w:val="227"/>
        </w:trPr>
        <w:tc>
          <w:tcPr>
            <w:tcW w:w="3548" w:type="dxa"/>
            <w:tcBorders>
              <w:top w:val="nil"/>
              <w:left w:val="single" w:sz="4" w:space="0" w:color="auto"/>
              <w:bottom w:val="single" w:sz="4" w:space="0" w:color="auto"/>
              <w:right w:val="single" w:sz="4" w:space="0" w:color="auto"/>
            </w:tcBorders>
            <w:shd w:val="clear" w:color="auto" w:fill="auto"/>
            <w:noWrap/>
            <w:vAlign w:val="center"/>
            <w:hideMark/>
          </w:tcPr>
          <w:p w14:paraId="51999D1E" w14:textId="77777777" w:rsidR="00BA07AB" w:rsidRPr="006603F4" w:rsidRDefault="00BA07AB" w:rsidP="00552FAC">
            <w:pPr>
              <w:jc w:val="both"/>
              <w:rPr>
                <w:rFonts w:ascii="Arial Narrow" w:eastAsia="Times New Roman" w:hAnsi="Arial Narrow" w:cs="Calibri"/>
                <w:sz w:val="18"/>
                <w:szCs w:val="18"/>
                <w:lang w:eastAsia="fr-FR"/>
              </w:rPr>
            </w:pPr>
            <w:r w:rsidRPr="006603F4">
              <w:rPr>
                <w:rFonts w:ascii="Arial Narrow" w:eastAsia="Times New Roman" w:hAnsi="Arial Narrow" w:cs="Calibri"/>
                <w:sz w:val="18"/>
                <w:szCs w:val="18"/>
                <w:lang w:eastAsia="fr-FR"/>
              </w:rPr>
              <w:t>DARRIBEROUGE Louis</w:t>
            </w:r>
          </w:p>
        </w:tc>
        <w:tc>
          <w:tcPr>
            <w:tcW w:w="3818" w:type="dxa"/>
            <w:tcBorders>
              <w:top w:val="nil"/>
              <w:left w:val="nil"/>
              <w:bottom w:val="single" w:sz="4" w:space="0" w:color="auto"/>
              <w:right w:val="single" w:sz="4" w:space="0" w:color="auto"/>
            </w:tcBorders>
            <w:shd w:val="clear" w:color="auto" w:fill="auto"/>
            <w:noWrap/>
            <w:vAlign w:val="center"/>
            <w:hideMark/>
          </w:tcPr>
          <w:p w14:paraId="0D2D69FC" w14:textId="77777777" w:rsidR="00BA07AB" w:rsidRPr="006603F4" w:rsidRDefault="00BA07AB" w:rsidP="00552FAC">
            <w:pPr>
              <w:jc w:val="both"/>
              <w:rPr>
                <w:rFonts w:ascii="Arial Narrow" w:eastAsia="Times New Roman" w:hAnsi="Arial Narrow" w:cs="Calibri"/>
                <w:sz w:val="18"/>
                <w:szCs w:val="18"/>
                <w:lang w:eastAsia="fr-FR"/>
              </w:rPr>
            </w:pPr>
            <w:r w:rsidRPr="006603F4">
              <w:rPr>
                <w:rFonts w:ascii="Arial Narrow" w:eastAsia="Times New Roman" w:hAnsi="Arial Narrow" w:cs="Calibri"/>
                <w:sz w:val="18"/>
                <w:szCs w:val="18"/>
                <w:lang w:eastAsia="fr-FR"/>
              </w:rPr>
              <w:t>OLIVE Claude</w:t>
            </w:r>
          </w:p>
        </w:tc>
        <w:tc>
          <w:tcPr>
            <w:tcW w:w="2268" w:type="dxa"/>
            <w:tcBorders>
              <w:top w:val="nil"/>
              <w:left w:val="nil"/>
              <w:bottom w:val="single" w:sz="4" w:space="0" w:color="auto"/>
              <w:right w:val="single" w:sz="4" w:space="0" w:color="auto"/>
            </w:tcBorders>
            <w:shd w:val="clear" w:color="auto" w:fill="auto"/>
            <w:noWrap/>
            <w:vAlign w:val="center"/>
            <w:hideMark/>
          </w:tcPr>
          <w:p w14:paraId="2247931C" w14:textId="77777777" w:rsidR="00BA07AB" w:rsidRPr="006603F4" w:rsidRDefault="00BA07AB" w:rsidP="00552FAC">
            <w:pPr>
              <w:jc w:val="both"/>
              <w:rPr>
                <w:rFonts w:ascii="Arial Narrow" w:eastAsia="Times New Roman" w:hAnsi="Arial Narrow" w:cs="Calibri"/>
                <w:sz w:val="18"/>
                <w:szCs w:val="18"/>
                <w:lang w:eastAsia="fr-FR"/>
              </w:rPr>
            </w:pPr>
            <w:r w:rsidRPr="006603F4">
              <w:rPr>
                <w:rFonts w:ascii="Arial Narrow" w:eastAsia="Times New Roman" w:hAnsi="Arial Narrow" w:cs="Calibri"/>
                <w:sz w:val="18"/>
                <w:szCs w:val="18"/>
                <w:lang w:eastAsia="fr-FR"/>
              </w:rPr>
              <w:t>CARPENTIER Vincent</w:t>
            </w:r>
          </w:p>
        </w:tc>
      </w:tr>
      <w:tr w:rsidR="00BA07AB" w:rsidRPr="006603F4" w14:paraId="1AC6B4B2" w14:textId="77777777" w:rsidTr="00552FAC">
        <w:trPr>
          <w:gridAfter w:val="1"/>
          <w:wAfter w:w="14" w:type="dxa"/>
          <w:trHeight w:val="227"/>
        </w:trPr>
        <w:tc>
          <w:tcPr>
            <w:tcW w:w="3548" w:type="dxa"/>
            <w:tcBorders>
              <w:top w:val="nil"/>
              <w:left w:val="single" w:sz="4" w:space="0" w:color="auto"/>
              <w:bottom w:val="single" w:sz="4" w:space="0" w:color="auto"/>
              <w:right w:val="single" w:sz="4" w:space="0" w:color="auto"/>
            </w:tcBorders>
            <w:shd w:val="clear" w:color="auto" w:fill="auto"/>
            <w:noWrap/>
            <w:vAlign w:val="center"/>
            <w:hideMark/>
          </w:tcPr>
          <w:p w14:paraId="61FD4298" w14:textId="77777777" w:rsidR="00BA07AB" w:rsidRPr="006603F4" w:rsidRDefault="00BA07AB" w:rsidP="00552FAC">
            <w:pPr>
              <w:jc w:val="both"/>
              <w:rPr>
                <w:rFonts w:ascii="Arial Narrow" w:eastAsia="Times New Roman" w:hAnsi="Arial Narrow" w:cs="Calibri"/>
                <w:sz w:val="18"/>
                <w:szCs w:val="18"/>
                <w:lang w:eastAsia="fr-FR"/>
              </w:rPr>
            </w:pPr>
            <w:r w:rsidRPr="006603F4">
              <w:rPr>
                <w:rFonts w:ascii="Arial Narrow" w:eastAsia="Times New Roman" w:hAnsi="Arial Narrow" w:cs="Calibri"/>
                <w:sz w:val="18"/>
                <w:szCs w:val="18"/>
                <w:lang w:eastAsia="fr-FR"/>
              </w:rPr>
              <w:t xml:space="preserve">ETCHEGARAY Jean-Pierre </w:t>
            </w:r>
          </w:p>
        </w:tc>
        <w:tc>
          <w:tcPr>
            <w:tcW w:w="3818" w:type="dxa"/>
            <w:tcBorders>
              <w:top w:val="nil"/>
              <w:left w:val="nil"/>
              <w:bottom w:val="single" w:sz="4" w:space="0" w:color="auto"/>
              <w:right w:val="single" w:sz="4" w:space="0" w:color="auto"/>
            </w:tcBorders>
            <w:shd w:val="clear" w:color="auto" w:fill="auto"/>
            <w:noWrap/>
            <w:vAlign w:val="center"/>
            <w:hideMark/>
          </w:tcPr>
          <w:p w14:paraId="4BF0AF96" w14:textId="77777777" w:rsidR="00BA07AB" w:rsidRPr="006603F4" w:rsidRDefault="00BA07AB" w:rsidP="00552FAC">
            <w:pPr>
              <w:jc w:val="both"/>
              <w:rPr>
                <w:rFonts w:ascii="Arial Narrow" w:eastAsia="Times New Roman" w:hAnsi="Arial Narrow" w:cs="Calibri"/>
                <w:sz w:val="18"/>
                <w:szCs w:val="18"/>
                <w:lang w:eastAsia="fr-FR"/>
              </w:rPr>
            </w:pPr>
            <w:r w:rsidRPr="006603F4">
              <w:rPr>
                <w:rFonts w:ascii="Arial Narrow" w:eastAsia="Times New Roman" w:hAnsi="Arial Narrow" w:cs="Calibri"/>
                <w:sz w:val="18"/>
                <w:szCs w:val="18"/>
                <w:lang w:eastAsia="fr-FR"/>
              </w:rPr>
              <w:t>PONS Yves (jusqu'au rapport n°7)</w:t>
            </w:r>
          </w:p>
        </w:tc>
        <w:tc>
          <w:tcPr>
            <w:tcW w:w="2268" w:type="dxa"/>
            <w:tcBorders>
              <w:top w:val="nil"/>
              <w:left w:val="nil"/>
              <w:bottom w:val="single" w:sz="4" w:space="0" w:color="auto"/>
              <w:right w:val="single" w:sz="4" w:space="0" w:color="auto"/>
            </w:tcBorders>
            <w:shd w:val="clear" w:color="auto" w:fill="auto"/>
            <w:noWrap/>
            <w:vAlign w:val="center"/>
            <w:hideMark/>
          </w:tcPr>
          <w:p w14:paraId="6B8CFCAF" w14:textId="77777777" w:rsidR="00BA07AB" w:rsidRPr="006603F4" w:rsidRDefault="00BA07AB" w:rsidP="00552FAC">
            <w:pPr>
              <w:jc w:val="both"/>
              <w:rPr>
                <w:rFonts w:ascii="Arial Narrow" w:eastAsia="Times New Roman" w:hAnsi="Arial Narrow" w:cs="Calibri"/>
                <w:sz w:val="18"/>
                <w:szCs w:val="18"/>
                <w:lang w:eastAsia="fr-FR"/>
              </w:rPr>
            </w:pPr>
            <w:r w:rsidRPr="006603F4">
              <w:rPr>
                <w:rFonts w:ascii="Arial Narrow" w:eastAsia="Times New Roman" w:hAnsi="Arial Narrow" w:cs="Calibri"/>
                <w:sz w:val="18"/>
                <w:szCs w:val="18"/>
                <w:lang w:eastAsia="fr-FR"/>
              </w:rPr>
              <w:t>FOURNIER Jean-Louis</w:t>
            </w:r>
          </w:p>
        </w:tc>
      </w:tr>
      <w:tr w:rsidR="00BA07AB" w:rsidRPr="006603F4" w14:paraId="569B573C" w14:textId="77777777" w:rsidTr="00552FAC">
        <w:trPr>
          <w:gridAfter w:val="1"/>
          <w:wAfter w:w="14" w:type="dxa"/>
          <w:trHeight w:val="227"/>
        </w:trPr>
        <w:tc>
          <w:tcPr>
            <w:tcW w:w="3548" w:type="dxa"/>
            <w:tcBorders>
              <w:top w:val="nil"/>
              <w:left w:val="single" w:sz="4" w:space="0" w:color="auto"/>
              <w:bottom w:val="single" w:sz="4" w:space="0" w:color="auto"/>
              <w:right w:val="single" w:sz="4" w:space="0" w:color="auto"/>
            </w:tcBorders>
            <w:shd w:val="clear" w:color="auto" w:fill="auto"/>
            <w:noWrap/>
            <w:vAlign w:val="center"/>
            <w:hideMark/>
          </w:tcPr>
          <w:p w14:paraId="540ED286" w14:textId="77777777" w:rsidR="00BA07AB" w:rsidRPr="006603F4" w:rsidRDefault="00BA07AB" w:rsidP="00552FAC">
            <w:pPr>
              <w:jc w:val="both"/>
              <w:rPr>
                <w:rFonts w:ascii="Arial Narrow" w:eastAsia="Times New Roman" w:hAnsi="Arial Narrow" w:cs="Calibri"/>
                <w:sz w:val="18"/>
                <w:szCs w:val="18"/>
                <w:lang w:eastAsia="fr-FR"/>
              </w:rPr>
            </w:pPr>
            <w:r w:rsidRPr="006603F4">
              <w:rPr>
                <w:rFonts w:ascii="Arial Narrow" w:eastAsia="Times New Roman" w:hAnsi="Arial Narrow" w:cs="Calibri"/>
                <w:sz w:val="18"/>
                <w:szCs w:val="18"/>
                <w:lang w:eastAsia="fr-FR"/>
              </w:rPr>
              <w:t>ETCHEGARAY Jean-René (jusqu'au rapport n°12)</w:t>
            </w:r>
          </w:p>
        </w:tc>
        <w:tc>
          <w:tcPr>
            <w:tcW w:w="3818" w:type="dxa"/>
            <w:tcBorders>
              <w:top w:val="nil"/>
              <w:left w:val="nil"/>
              <w:bottom w:val="single" w:sz="4" w:space="0" w:color="auto"/>
              <w:right w:val="single" w:sz="4" w:space="0" w:color="auto"/>
            </w:tcBorders>
            <w:shd w:val="clear" w:color="auto" w:fill="auto"/>
            <w:noWrap/>
            <w:vAlign w:val="center"/>
            <w:hideMark/>
          </w:tcPr>
          <w:p w14:paraId="57AF51EB" w14:textId="77777777" w:rsidR="00BA07AB" w:rsidRPr="006603F4" w:rsidRDefault="00BA07AB" w:rsidP="00552FAC">
            <w:pPr>
              <w:jc w:val="both"/>
              <w:rPr>
                <w:rFonts w:ascii="Arial Narrow" w:eastAsia="Times New Roman" w:hAnsi="Arial Narrow" w:cs="Calibri"/>
                <w:sz w:val="18"/>
                <w:szCs w:val="18"/>
                <w:lang w:eastAsia="fr-FR"/>
              </w:rPr>
            </w:pPr>
            <w:r w:rsidRPr="006603F4">
              <w:rPr>
                <w:rFonts w:ascii="Arial Narrow" w:eastAsia="Times New Roman" w:hAnsi="Arial Narrow" w:cs="Calibri"/>
                <w:sz w:val="18"/>
                <w:szCs w:val="18"/>
                <w:lang w:eastAsia="fr-FR"/>
              </w:rPr>
              <w:t>SALDUCCI Jean-Paul</w:t>
            </w:r>
          </w:p>
        </w:tc>
        <w:tc>
          <w:tcPr>
            <w:tcW w:w="2268" w:type="dxa"/>
            <w:tcBorders>
              <w:top w:val="nil"/>
              <w:left w:val="nil"/>
              <w:bottom w:val="single" w:sz="4" w:space="0" w:color="auto"/>
              <w:right w:val="single" w:sz="4" w:space="0" w:color="auto"/>
            </w:tcBorders>
            <w:shd w:val="clear" w:color="auto" w:fill="auto"/>
            <w:noWrap/>
            <w:vAlign w:val="center"/>
            <w:hideMark/>
          </w:tcPr>
          <w:p w14:paraId="7BE68C25" w14:textId="77777777" w:rsidR="00BA07AB" w:rsidRPr="006603F4" w:rsidRDefault="00BA07AB" w:rsidP="00552FAC">
            <w:pPr>
              <w:jc w:val="both"/>
              <w:rPr>
                <w:rFonts w:ascii="Arial Narrow" w:eastAsia="Times New Roman" w:hAnsi="Arial Narrow" w:cs="Calibri"/>
                <w:sz w:val="18"/>
                <w:szCs w:val="18"/>
                <w:lang w:eastAsia="fr-FR"/>
              </w:rPr>
            </w:pPr>
            <w:r w:rsidRPr="006603F4">
              <w:rPr>
                <w:rFonts w:ascii="Arial Narrow" w:eastAsia="Times New Roman" w:hAnsi="Arial Narrow" w:cs="Calibri"/>
                <w:sz w:val="18"/>
                <w:szCs w:val="18"/>
                <w:lang w:eastAsia="fr-FR"/>
              </w:rPr>
              <w:t>HIRIART-URRUTY Argitxu</w:t>
            </w:r>
          </w:p>
        </w:tc>
      </w:tr>
      <w:tr w:rsidR="00BA07AB" w:rsidRPr="006603F4" w14:paraId="6F6F1198" w14:textId="77777777" w:rsidTr="00552FAC">
        <w:trPr>
          <w:gridAfter w:val="1"/>
          <w:wAfter w:w="14" w:type="dxa"/>
          <w:trHeight w:val="227"/>
        </w:trPr>
        <w:tc>
          <w:tcPr>
            <w:tcW w:w="3548" w:type="dxa"/>
            <w:tcBorders>
              <w:top w:val="nil"/>
              <w:left w:val="single" w:sz="4" w:space="0" w:color="auto"/>
              <w:bottom w:val="single" w:sz="4" w:space="0" w:color="auto"/>
              <w:right w:val="single" w:sz="4" w:space="0" w:color="auto"/>
            </w:tcBorders>
            <w:shd w:val="clear" w:color="auto" w:fill="auto"/>
            <w:noWrap/>
            <w:vAlign w:val="center"/>
            <w:hideMark/>
          </w:tcPr>
          <w:p w14:paraId="206E72F0" w14:textId="77777777" w:rsidR="00BA07AB" w:rsidRPr="006603F4" w:rsidRDefault="00BA07AB" w:rsidP="00552FAC">
            <w:pPr>
              <w:jc w:val="both"/>
              <w:rPr>
                <w:rFonts w:ascii="Arial Narrow" w:eastAsia="Times New Roman" w:hAnsi="Arial Narrow" w:cs="Calibri"/>
                <w:color w:val="000000"/>
                <w:sz w:val="18"/>
                <w:szCs w:val="18"/>
                <w:lang w:eastAsia="fr-FR"/>
              </w:rPr>
            </w:pPr>
            <w:r w:rsidRPr="006603F4">
              <w:rPr>
                <w:rFonts w:ascii="Arial Narrow" w:eastAsia="Times New Roman" w:hAnsi="Arial Narrow" w:cs="Calibri"/>
                <w:color w:val="000000"/>
                <w:sz w:val="18"/>
                <w:szCs w:val="18"/>
                <w:lang w:eastAsia="fr-FR"/>
              </w:rPr>
              <w:t>GONZALES Christian</w:t>
            </w:r>
          </w:p>
        </w:tc>
        <w:tc>
          <w:tcPr>
            <w:tcW w:w="3818" w:type="dxa"/>
            <w:tcBorders>
              <w:top w:val="nil"/>
              <w:left w:val="nil"/>
              <w:bottom w:val="single" w:sz="4" w:space="0" w:color="auto"/>
              <w:right w:val="single" w:sz="4" w:space="0" w:color="auto"/>
            </w:tcBorders>
            <w:shd w:val="clear" w:color="auto" w:fill="auto"/>
            <w:noWrap/>
            <w:vAlign w:val="center"/>
            <w:hideMark/>
          </w:tcPr>
          <w:p w14:paraId="483C285F" w14:textId="77777777" w:rsidR="00BA07AB" w:rsidRPr="006603F4" w:rsidRDefault="00BA07AB" w:rsidP="00552FAC">
            <w:pPr>
              <w:jc w:val="both"/>
              <w:rPr>
                <w:rFonts w:ascii="Arial Narrow" w:eastAsia="Times New Roman" w:hAnsi="Arial Narrow" w:cs="Calibri"/>
                <w:sz w:val="18"/>
                <w:szCs w:val="18"/>
                <w:lang w:eastAsia="fr-FR"/>
              </w:rPr>
            </w:pPr>
            <w:r w:rsidRPr="006603F4">
              <w:rPr>
                <w:rFonts w:ascii="Arial Narrow" w:eastAsia="Times New Roman" w:hAnsi="Arial Narrow" w:cs="Calibri"/>
                <w:sz w:val="18"/>
                <w:szCs w:val="18"/>
                <w:lang w:eastAsia="fr-FR"/>
              </w:rPr>
              <w:t>THEBAUD Marie-Ange</w:t>
            </w:r>
          </w:p>
        </w:tc>
        <w:tc>
          <w:tcPr>
            <w:tcW w:w="2268" w:type="dxa"/>
            <w:tcBorders>
              <w:top w:val="nil"/>
              <w:left w:val="nil"/>
              <w:bottom w:val="single" w:sz="4" w:space="0" w:color="auto"/>
              <w:right w:val="single" w:sz="4" w:space="0" w:color="auto"/>
            </w:tcBorders>
            <w:shd w:val="clear" w:color="auto" w:fill="auto"/>
            <w:noWrap/>
            <w:vAlign w:val="bottom"/>
            <w:hideMark/>
          </w:tcPr>
          <w:p w14:paraId="46E58D6B" w14:textId="77777777" w:rsidR="00BA07AB" w:rsidRPr="006603F4" w:rsidRDefault="00BA07AB" w:rsidP="00552FAC">
            <w:pPr>
              <w:rPr>
                <w:rFonts w:ascii="Arial Narrow" w:eastAsia="Times New Roman" w:hAnsi="Arial Narrow" w:cs="Calibri"/>
                <w:sz w:val="18"/>
                <w:szCs w:val="18"/>
                <w:lang w:eastAsia="fr-FR"/>
              </w:rPr>
            </w:pPr>
            <w:r w:rsidRPr="006603F4">
              <w:rPr>
                <w:rFonts w:ascii="Arial Narrow" w:eastAsia="Times New Roman" w:hAnsi="Arial Narrow" w:cs="Calibri"/>
                <w:sz w:val="18"/>
                <w:szCs w:val="18"/>
                <w:lang w:eastAsia="fr-FR"/>
              </w:rPr>
              <w:t>IRIGOYEN Jean-François</w:t>
            </w:r>
          </w:p>
        </w:tc>
      </w:tr>
      <w:tr w:rsidR="00BA07AB" w:rsidRPr="006603F4" w14:paraId="1F64FF83" w14:textId="77777777" w:rsidTr="00552FAC">
        <w:trPr>
          <w:gridAfter w:val="1"/>
          <w:wAfter w:w="14" w:type="dxa"/>
          <w:trHeight w:val="227"/>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14:paraId="1302D840" w14:textId="77777777" w:rsidR="00BA07AB" w:rsidRPr="006603F4" w:rsidRDefault="00BA07AB" w:rsidP="00552FAC">
            <w:pPr>
              <w:rPr>
                <w:rFonts w:ascii="Arial Narrow" w:eastAsia="Times New Roman" w:hAnsi="Arial Narrow" w:cs="Calibri"/>
                <w:sz w:val="18"/>
                <w:szCs w:val="18"/>
                <w:lang w:eastAsia="fr-FR"/>
              </w:rPr>
            </w:pPr>
            <w:r w:rsidRPr="006603F4">
              <w:rPr>
                <w:rFonts w:ascii="Arial Narrow" w:eastAsia="Times New Roman" w:hAnsi="Arial Narrow" w:cs="Calibri"/>
                <w:sz w:val="18"/>
                <w:szCs w:val="18"/>
                <w:lang w:eastAsia="fr-FR"/>
              </w:rPr>
              <w:t>HAYE Ghislaine</w:t>
            </w:r>
          </w:p>
        </w:tc>
        <w:tc>
          <w:tcPr>
            <w:tcW w:w="3818" w:type="dxa"/>
            <w:tcBorders>
              <w:top w:val="nil"/>
              <w:left w:val="nil"/>
              <w:bottom w:val="single" w:sz="4" w:space="0" w:color="auto"/>
              <w:right w:val="single" w:sz="4" w:space="0" w:color="auto"/>
            </w:tcBorders>
            <w:shd w:val="clear" w:color="auto" w:fill="auto"/>
            <w:noWrap/>
            <w:vAlign w:val="center"/>
            <w:hideMark/>
          </w:tcPr>
          <w:p w14:paraId="6F2ED59B" w14:textId="77777777" w:rsidR="00BA07AB" w:rsidRPr="006603F4" w:rsidRDefault="00BA07AB" w:rsidP="00552FAC">
            <w:pPr>
              <w:jc w:val="both"/>
              <w:rPr>
                <w:rFonts w:ascii="Arial Narrow" w:eastAsia="Times New Roman" w:hAnsi="Arial Narrow" w:cs="Calibri"/>
                <w:sz w:val="18"/>
                <w:szCs w:val="18"/>
                <w:lang w:eastAsia="fr-FR"/>
              </w:rPr>
            </w:pPr>
            <w:r w:rsidRPr="006603F4">
              <w:rPr>
                <w:rFonts w:ascii="Arial Narrow" w:eastAsia="Times New Roman" w:hAnsi="Arial Narrow" w:cs="Calibri"/>
                <w:sz w:val="18"/>
                <w:szCs w:val="18"/>
                <w:lang w:eastAsia="fr-FR"/>
              </w:rPr>
              <w:t>VEUNAC Jacques</w:t>
            </w:r>
          </w:p>
        </w:tc>
        <w:tc>
          <w:tcPr>
            <w:tcW w:w="2268" w:type="dxa"/>
            <w:tcBorders>
              <w:top w:val="nil"/>
              <w:left w:val="nil"/>
              <w:bottom w:val="single" w:sz="4" w:space="0" w:color="auto"/>
              <w:right w:val="single" w:sz="4" w:space="0" w:color="auto"/>
            </w:tcBorders>
            <w:shd w:val="clear" w:color="auto" w:fill="auto"/>
            <w:noWrap/>
            <w:vAlign w:val="center"/>
            <w:hideMark/>
          </w:tcPr>
          <w:p w14:paraId="72C58AA6" w14:textId="77777777" w:rsidR="00BA07AB" w:rsidRPr="006603F4" w:rsidRDefault="00BA07AB" w:rsidP="00552FAC">
            <w:pPr>
              <w:jc w:val="both"/>
              <w:rPr>
                <w:rFonts w:ascii="Arial Narrow" w:eastAsia="Times New Roman" w:hAnsi="Arial Narrow" w:cs="Calibri"/>
                <w:sz w:val="18"/>
                <w:szCs w:val="18"/>
                <w:lang w:eastAsia="fr-FR"/>
              </w:rPr>
            </w:pPr>
            <w:r w:rsidRPr="006603F4">
              <w:rPr>
                <w:rFonts w:ascii="Arial Narrow" w:eastAsia="Times New Roman" w:hAnsi="Arial Narrow" w:cs="Calibri"/>
                <w:sz w:val="18"/>
                <w:szCs w:val="18"/>
                <w:lang w:eastAsia="fr-FR"/>
              </w:rPr>
              <w:t>NEYS Philippe</w:t>
            </w:r>
          </w:p>
        </w:tc>
      </w:tr>
      <w:tr w:rsidR="00BA07AB" w:rsidRPr="006603F4" w14:paraId="21385DBD" w14:textId="77777777" w:rsidTr="00552FAC">
        <w:trPr>
          <w:gridAfter w:val="1"/>
          <w:wAfter w:w="14" w:type="dxa"/>
          <w:trHeight w:val="227"/>
        </w:trPr>
        <w:tc>
          <w:tcPr>
            <w:tcW w:w="3548" w:type="dxa"/>
            <w:tcBorders>
              <w:top w:val="nil"/>
              <w:left w:val="single" w:sz="4" w:space="0" w:color="auto"/>
              <w:bottom w:val="single" w:sz="4" w:space="0" w:color="auto"/>
              <w:right w:val="single" w:sz="4" w:space="0" w:color="auto"/>
            </w:tcBorders>
            <w:shd w:val="clear" w:color="auto" w:fill="auto"/>
            <w:noWrap/>
            <w:vAlign w:val="center"/>
            <w:hideMark/>
          </w:tcPr>
          <w:p w14:paraId="00AB0C27" w14:textId="77777777" w:rsidR="00BA07AB" w:rsidRPr="006603F4" w:rsidRDefault="00BA07AB" w:rsidP="00552FAC">
            <w:pPr>
              <w:jc w:val="both"/>
              <w:rPr>
                <w:rFonts w:ascii="Arial Narrow" w:eastAsia="Times New Roman" w:hAnsi="Arial Narrow" w:cs="Calibri"/>
                <w:sz w:val="18"/>
                <w:szCs w:val="18"/>
                <w:lang w:eastAsia="fr-FR"/>
              </w:rPr>
            </w:pPr>
            <w:r w:rsidRPr="006603F4">
              <w:rPr>
                <w:rFonts w:ascii="Arial Narrow" w:eastAsia="Times New Roman" w:hAnsi="Arial Narrow" w:cs="Calibri"/>
                <w:sz w:val="18"/>
                <w:szCs w:val="18"/>
                <w:lang w:eastAsia="fr-FR"/>
              </w:rPr>
              <w:t>HOURCADE Robert</w:t>
            </w:r>
          </w:p>
        </w:tc>
        <w:tc>
          <w:tcPr>
            <w:tcW w:w="3818" w:type="dxa"/>
            <w:tcBorders>
              <w:top w:val="nil"/>
              <w:left w:val="nil"/>
              <w:bottom w:val="nil"/>
              <w:right w:val="nil"/>
            </w:tcBorders>
            <w:shd w:val="clear" w:color="auto" w:fill="auto"/>
            <w:noWrap/>
            <w:vAlign w:val="bottom"/>
            <w:hideMark/>
          </w:tcPr>
          <w:p w14:paraId="3CFDD330" w14:textId="77777777" w:rsidR="00BA07AB" w:rsidRPr="006603F4" w:rsidRDefault="00BA07AB" w:rsidP="00552FAC">
            <w:pPr>
              <w:jc w:val="both"/>
              <w:rPr>
                <w:rFonts w:ascii="Arial Narrow" w:eastAsia="Times New Roman" w:hAnsi="Arial Narrow" w:cs="Calibri"/>
                <w:sz w:val="18"/>
                <w:szCs w:val="18"/>
                <w:lang w:eastAsia="fr-FR"/>
              </w:rPr>
            </w:pP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709BB9EB" w14:textId="77777777" w:rsidR="00BA07AB" w:rsidRPr="006603F4" w:rsidRDefault="00BA07AB" w:rsidP="00552FAC">
            <w:pPr>
              <w:jc w:val="both"/>
              <w:rPr>
                <w:rFonts w:ascii="Arial Narrow" w:eastAsia="Times New Roman" w:hAnsi="Arial Narrow" w:cs="Calibri"/>
                <w:sz w:val="18"/>
                <w:szCs w:val="18"/>
                <w:lang w:eastAsia="fr-FR"/>
              </w:rPr>
            </w:pPr>
            <w:r w:rsidRPr="006603F4">
              <w:rPr>
                <w:rFonts w:ascii="Arial Narrow" w:eastAsia="Times New Roman" w:hAnsi="Arial Narrow" w:cs="Calibri"/>
                <w:sz w:val="18"/>
                <w:szCs w:val="18"/>
                <w:lang w:eastAsia="fr-FR"/>
              </w:rPr>
              <w:t>NOUSBAUM Pierre-Marie</w:t>
            </w:r>
          </w:p>
        </w:tc>
      </w:tr>
      <w:tr w:rsidR="00BA07AB" w:rsidRPr="006603F4" w14:paraId="79D9D4D9" w14:textId="77777777" w:rsidTr="00552FAC">
        <w:trPr>
          <w:gridAfter w:val="1"/>
          <w:wAfter w:w="14" w:type="dxa"/>
          <w:trHeight w:val="227"/>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14:paraId="0A70EEC2" w14:textId="77777777" w:rsidR="00BA07AB" w:rsidRPr="006603F4" w:rsidRDefault="00BA07AB" w:rsidP="00552FAC">
            <w:pPr>
              <w:rPr>
                <w:rFonts w:ascii="Calibri" w:eastAsia="Times New Roman" w:hAnsi="Calibri" w:cs="Calibri"/>
                <w:color w:val="000000"/>
                <w:sz w:val="22"/>
                <w:szCs w:val="22"/>
                <w:lang w:eastAsia="fr-FR"/>
              </w:rPr>
            </w:pPr>
            <w:r w:rsidRPr="006603F4">
              <w:rPr>
                <w:rFonts w:ascii="Calibri" w:eastAsia="Times New Roman" w:hAnsi="Calibri" w:cs="Calibri"/>
                <w:color w:val="000000"/>
                <w:sz w:val="22"/>
                <w:szCs w:val="22"/>
                <w:lang w:eastAsia="fr-FR"/>
              </w:rPr>
              <w:t> </w:t>
            </w:r>
          </w:p>
        </w:tc>
        <w:tc>
          <w:tcPr>
            <w:tcW w:w="3818" w:type="dxa"/>
            <w:tcBorders>
              <w:top w:val="single" w:sz="4" w:space="0" w:color="auto"/>
              <w:left w:val="nil"/>
              <w:bottom w:val="single" w:sz="4" w:space="0" w:color="auto"/>
              <w:right w:val="single" w:sz="4" w:space="0" w:color="auto"/>
            </w:tcBorders>
            <w:shd w:val="clear" w:color="auto" w:fill="auto"/>
            <w:noWrap/>
            <w:vAlign w:val="bottom"/>
            <w:hideMark/>
          </w:tcPr>
          <w:p w14:paraId="29844CD0" w14:textId="77777777" w:rsidR="00BA07AB" w:rsidRPr="006603F4" w:rsidRDefault="00BA07AB" w:rsidP="00552FAC">
            <w:pPr>
              <w:rPr>
                <w:rFonts w:ascii="Calibri Light" w:eastAsia="Times New Roman" w:hAnsi="Calibri Light" w:cs="Calibri Light"/>
                <w:sz w:val="22"/>
                <w:szCs w:val="22"/>
                <w:lang w:eastAsia="fr-FR"/>
              </w:rPr>
            </w:pPr>
            <w:r w:rsidRPr="006603F4">
              <w:rPr>
                <w:rFonts w:ascii="Calibri Light" w:eastAsia="Times New Roman" w:hAnsi="Calibri Light" w:cs="Calibri Light"/>
                <w:sz w:val="22"/>
                <w:szCs w:val="22"/>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14:paraId="53839437" w14:textId="77777777" w:rsidR="00BA07AB" w:rsidRPr="006603F4" w:rsidRDefault="00BA07AB" w:rsidP="00552FAC">
            <w:pPr>
              <w:jc w:val="both"/>
              <w:rPr>
                <w:rFonts w:ascii="Arial Narrow" w:eastAsia="Times New Roman" w:hAnsi="Arial Narrow" w:cs="Calibri"/>
                <w:sz w:val="18"/>
                <w:szCs w:val="18"/>
                <w:lang w:eastAsia="fr-FR"/>
              </w:rPr>
            </w:pPr>
            <w:r w:rsidRPr="006603F4">
              <w:rPr>
                <w:rFonts w:ascii="Arial Narrow" w:eastAsia="Times New Roman" w:hAnsi="Arial Narrow" w:cs="Calibri"/>
                <w:sz w:val="18"/>
                <w:szCs w:val="18"/>
                <w:lang w:eastAsia="fr-FR"/>
              </w:rPr>
              <w:t>SOROSTE Michel</w:t>
            </w:r>
          </w:p>
        </w:tc>
      </w:tr>
      <w:tr w:rsidR="00BA07AB" w:rsidRPr="006603F4" w14:paraId="5BBA6FB7" w14:textId="77777777" w:rsidTr="00552FAC">
        <w:trPr>
          <w:gridAfter w:val="1"/>
          <w:wAfter w:w="14" w:type="dxa"/>
          <w:trHeight w:val="227"/>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14:paraId="34C784FD" w14:textId="77777777" w:rsidR="00BA07AB" w:rsidRPr="006603F4" w:rsidRDefault="00BA07AB" w:rsidP="00552FAC">
            <w:pPr>
              <w:rPr>
                <w:rFonts w:ascii="Calibri" w:eastAsia="Times New Roman" w:hAnsi="Calibri" w:cs="Calibri"/>
                <w:color w:val="000000"/>
                <w:sz w:val="22"/>
                <w:szCs w:val="22"/>
                <w:lang w:eastAsia="fr-FR"/>
              </w:rPr>
            </w:pPr>
            <w:r w:rsidRPr="006603F4">
              <w:rPr>
                <w:rFonts w:ascii="Calibri" w:eastAsia="Times New Roman" w:hAnsi="Calibri" w:cs="Calibri"/>
                <w:color w:val="000000"/>
                <w:sz w:val="22"/>
                <w:szCs w:val="22"/>
                <w:lang w:eastAsia="fr-FR"/>
              </w:rPr>
              <w:t> </w:t>
            </w:r>
          </w:p>
        </w:tc>
        <w:tc>
          <w:tcPr>
            <w:tcW w:w="3818" w:type="dxa"/>
            <w:tcBorders>
              <w:top w:val="nil"/>
              <w:left w:val="nil"/>
              <w:bottom w:val="single" w:sz="4" w:space="0" w:color="auto"/>
              <w:right w:val="single" w:sz="4" w:space="0" w:color="auto"/>
            </w:tcBorders>
            <w:shd w:val="clear" w:color="auto" w:fill="auto"/>
            <w:noWrap/>
            <w:vAlign w:val="bottom"/>
            <w:hideMark/>
          </w:tcPr>
          <w:p w14:paraId="6545B6FF" w14:textId="77777777" w:rsidR="00BA07AB" w:rsidRPr="006603F4" w:rsidRDefault="00BA07AB" w:rsidP="00552FAC">
            <w:pPr>
              <w:rPr>
                <w:rFonts w:ascii="Calibri Light" w:eastAsia="Times New Roman" w:hAnsi="Calibri Light" w:cs="Calibri Light"/>
                <w:sz w:val="22"/>
                <w:szCs w:val="22"/>
                <w:lang w:eastAsia="fr-FR"/>
              </w:rPr>
            </w:pPr>
            <w:r w:rsidRPr="006603F4">
              <w:rPr>
                <w:rFonts w:ascii="Calibri Light" w:eastAsia="Times New Roman" w:hAnsi="Calibri Light" w:cs="Calibri Light"/>
                <w:sz w:val="22"/>
                <w:szCs w:val="22"/>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14:paraId="3E8A53B7" w14:textId="77777777" w:rsidR="00BA07AB" w:rsidRPr="006603F4" w:rsidRDefault="00BA07AB" w:rsidP="00552FAC">
            <w:pPr>
              <w:jc w:val="both"/>
              <w:rPr>
                <w:rFonts w:ascii="Arial Narrow" w:eastAsia="Times New Roman" w:hAnsi="Arial Narrow" w:cs="Calibri"/>
                <w:sz w:val="18"/>
                <w:szCs w:val="18"/>
                <w:lang w:eastAsia="fr-FR"/>
              </w:rPr>
            </w:pPr>
            <w:r w:rsidRPr="006603F4">
              <w:rPr>
                <w:rFonts w:ascii="Arial Narrow" w:eastAsia="Times New Roman" w:hAnsi="Arial Narrow" w:cs="Calibri"/>
                <w:sz w:val="18"/>
                <w:szCs w:val="18"/>
                <w:lang w:eastAsia="fr-FR"/>
              </w:rPr>
              <w:t>VEUNAC Michel</w:t>
            </w:r>
          </w:p>
        </w:tc>
      </w:tr>
      <w:tr w:rsidR="00BA07AB" w:rsidRPr="006603F4" w14:paraId="70E528C1" w14:textId="77777777" w:rsidTr="00552FAC">
        <w:trPr>
          <w:trHeight w:val="227"/>
        </w:trPr>
        <w:tc>
          <w:tcPr>
            <w:tcW w:w="9648" w:type="dxa"/>
            <w:gridSpan w:val="4"/>
            <w:tcBorders>
              <w:top w:val="single" w:sz="4" w:space="0" w:color="auto"/>
              <w:left w:val="nil"/>
              <w:bottom w:val="nil"/>
              <w:right w:val="nil"/>
            </w:tcBorders>
            <w:shd w:val="clear" w:color="auto" w:fill="auto"/>
            <w:noWrap/>
            <w:vAlign w:val="bottom"/>
            <w:hideMark/>
          </w:tcPr>
          <w:p w14:paraId="1A5CB053" w14:textId="77777777" w:rsidR="00BA07AB" w:rsidRPr="006603F4" w:rsidRDefault="00BA07AB" w:rsidP="00552FAC">
            <w:pPr>
              <w:rPr>
                <w:rFonts w:ascii="Calibri Light" w:eastAsia="Times New Roman" w:hAnsi="Calibri Light" w:cs="Calibri Light"/>
                <w:color w:val="000000"/>
                <w:sz w:val="22"/>
                <w:szCs w:val="22"/>
                <w:u w:val="single"/>
                <w:lang w:eastAsia="fr-FR"/>
              </w:rPr>
            </w:pPr>
            <w:r w:rsidRPr="006603F4">
              <w:rPr>
                <w:rFonts w:ascii="Calibri Light" w:eastAsia="Times New Roman" w:hAnsi="Calibri Light" w:cs="Calibri Light"/>
                <w:color w:val="000000"/>
                <w:sz w:val="22"/>
                <w:szCs w:val="22"/>
                <w:u w:val="single"/>
                <w:lang w:eastAsia="fr-FR"/>
              </w:rPr>
              <w:t>Suppléants présents mandatés par des titulaires</w:t>
            </w:r>
          </w:p>
        </w:tc>
      </w:tr>
      <w:tr w:rsidR="00BA07AB" w:rsidRPr="006603F4" w14:paraId="200C5A33" w14:textId="77777777" w:rsidTr="00552FAC">
        <w:trPr>
          <w:gridAfter w:val="1"/>
          <w:wAfter w:w="14" w:type="dxa"/>
          <w:trHeight w:val="227"/>
        </w:trPr>
        <w:tc>
          <w:tcPr>
            <w:tcW w:w="3548"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225974B1" w14:textId="77777777" w:rsidR="00BA07AB" w:rsidRPr="006603F4" w:rsidRDefault="00BA07AB" w:rsidP="00552FAC">
            <w:pPr>
              <w:rPr>
                <w:rFonts w:ascii="Calibri Light" w:eastAsia="Times New Roman" w:hAnsi="Calibri Light" w:cs="Calibri Light"/>
                <w:color w:val="000000"/>
                <w:sz w:val="22"/>
                <w:szCs w:val="22"/>
                <w:lang w:eastAsia="fr-FR"/>
              </w:rPr>
            </w:pPr>
            <w:r w:rsidRPr="006603F4">
              <w:rPr>
                <w:rFonts w:ascii="Calibri Light" w:eastAsia="Times New Roman" w:hAnsi="Calibri Light" w:cs="Calibri Light"/>
                <w:color w:val="000000"/>
                <w:sz w:val="22"/>
                <w:szCs w:val="22"/>
                <w:lang w:eastAsia="fr-FR"/>
              </w:rPr>
              <w:t>Titulaires excusés</w:t>
            </w:r>
          </w:p>
        </w:tc>
        <w:tc>
          <w:tcPr>
            <w:tcW w:w="3818" w:type="dxa"/>
            <w:tcBorders>
              <w:top w:val="single" w:sz="4" w:space="0" w:color="auto"/>
              <w:left w:val="nil"/>
              <w:bottom w:val="single" w:sz="4" w:space="0" w:color="auto"/>
              <w:right w:val="single" w:sz="4" w:space="0" w:color="auto"/>
            </w:tcBorders>
            <w:shd w:val="clear" w:color="000000" w:fill="EEECE1"/>
            <w:noWrap/>
            <w:vAlign w:val="center"/>
            <w:hideMark/>
          </w:tcPr>
          <w:p w14:paraId="5CDE7873" w14:textId="77777777" w:rsidR="00BA07AB" w:rsidRPr="006603F4" w:rsidRDefault="00BA07AB" w:rsidP="00552FAC">
            <w:pPr>
              <w:rPr>
                <w:rFonts w:ascii="Calibri Light" w:eastAsia="Times New Roman" w:hAnsi="Calibri Light" w:cs="Calibri Light"/>
                <w:color w:val="000000"/>
                <w:sz w:val="22"/>
                <w:szCs w:val="22"/>
                <w:lang w:eastAsia="fr-FR"/>
              </w:rPr>
            </w:pPr>
            <w:r w:rsidRPr="006603F4">
              <w:rPr>
                <w:rFonts w:ascii="Calibri Light" w:eastAsia="Times New Roman" w:hAnsi="Calibri Light" w:cs="Calibri Light"/>
                <w:color w:val="000000"/>
                <w:sz w:val="22"/>
                <w:szCs w:val="22"/>
                <w:lang w:eastAsia="fr-FR"/>
              </w:rPr>
              <w:t>Suppléants désignés</w:t>
            </w:r>
          </w:p>
        </w:tc>
        <w:tc>
          <w:tcPr>
            <w:tcW w:w="2268" w:type="dxa"/>
            <w:tcBorders>
              <w:top w:val="nil"/>
              <w:left w:val="nil"/>
              <w:bottom w:val="nil"/>
              <w:right w:val="nil"/>
            </w:tcBorders>
            <w:shd w:val="clear" w:color="auto" w:fill="auto"/>
            <w:noWrap/>
            <w:vAlign w:val="bottom"/>
            <w:hideMark/>
          </w:tcPr>
          <w:p w14:paraId="5DBFBEEC" w14:textId="77777777" w:rsidR="00BA07AB" w:rsidRPr="006603F4" w:rsidRDefault="00BA07AB" w:rsidP="00552FAC">
            <w:pPr>
              <w:rPr>
                <w:rFonts w:ascii="Calibri Light" w:eastAsia="Times New Roman" w:hAnsi="Calibri Light" w:cs="Calibri Light"/>
                <w:color w:val="000000"/>
                <w:sz w:val="22"/>
                <w:szCs w:val="22"/>
                <w:lang w:eastAsia="fr-FR"/>
              </w:rPr>
            </w:pPr>
          </w:p>
        </w:tc>
      </w:tr>
      <w:tr w:rsidR="00BA07AB" w:rsidRPr="006603F4" w14:paraId="5EFA17AA" w14:textId="77777777" w:rsidTr="00552FAC">
        <w:trPr>
          <w:gridAfter w:val="1"/>
          <w:wAfter w:w="14" w:type="dxa"/>
          <w:trHeight w:val="227"/>
        </w:trPr>
        <w:tc>
          <w:tcPr>
            <w:tcW w:w="3548" w:type="dxa"/>
            <w:tcBorders>
              <w:top w:val="nil"/>
              <w:left w:val="single" w:sz="4" w:space="0" w:color="auto"/>
              <w:bottom w:val="single" w:sz="4" w:space="0" w:color="auto"/>
              <w:right w:val="single" w:sz="4" w:space="0" w:color="auto"/>
            </w:tcBorders>
            <w:shd w:val="clear" w:color="auto" w:fill="auto"/>
            <w:noWrap/>
            <w:vAlign w:val="center"/>
            <w:hideMark/>
          </w:tcPr>
          <w:p w14:paraId="14ED10AD" w14:textId="77777777" w:rsidR="00BA07AB" w:rsidRPr="006603F4" w:rsidRDefault="00BA07AB" w:rsidP="00552FAC">
            <w:pPr>
              <w:jc w:val="both"/>
              <w:rPr>
                <w:rFonts w:ascii="Arial Narrow" w:eastAsia="Times New Roman" w:hAnsi="Arial Narrow" w:cs="Calibri"/>
                <w:sz w:val="18"/>
                <w:szCs w:val="18"/>
                <w:lang w:eastAsia="fr-FR"/>
              </w:rPr>
            </w:pPr>
            <w:r w:rsidRPr="006603F4">
              <w:rPr>
                <w:rFonts w:ascii="Arial Narrow" w:eastAsia="Times New Roman" w:hAnsi="Arial Narrow" w:cs="Calibri"/>
                <w:sz w:val="18"/>
                <w:szCs w:val="18"/>
                <w:lang w:eastAsia="fr-FR"/>
              </w:rPr>
              <w:t>HACALA Germaine</w:t>
            </w:r>
          </w:p>
        </w:tc>
        <w:tc>
          <w:tcPr>
            <w:tcW w:w="3818" w:type="dxa"/>
            <w:tcBorders>
              <w:top w:val="nil"/>
              <w:left w:val="nil"/>
              <w:bottom w:val="single" w:sz="4" w:space="0" w:color="auto"/>
              <w:right w:val="single" w:sz="4" w:space="0" w:color="auto"/>
            </w:tcBorders>
            <w:shd w:val="clear" w:color="auto" w:fill="auto"/>
            <w:noWrap/>
            <w:vAlign w:val="center"/>
            <w:hideMark/>
          </w:tcPr>
          <w:p w14:paraId="65A56E86" w14:textId="77777777" w:rsidR="00BA07AB" w:rsidRPr="006603F4" w:rsidRDefault="00BA07AB" w:rsidP="00552FAC">
            <w:pPr>
              <w:jc w:val="both"/>
              <w:rPr>
                <w:rFonts w:ascii="Arial Narrow" w:eastAsia="Times New Roman" w:hAnsi="Arial Narrow" w:cs="Calibri"/>
                <w:sz w:val="18"/>
                <w:szCs w:val="18"/>
                <w:lang w:eastAsia="fr-FR"/>
              </w:rPr>
            </w:pPr>
            <w:r w:rsidRPr="006603F4">
              <w:rPr>
                <w:rFonts w:ascii="Arial Narrow" w:eastAsia="Times New Roman" w:hAnsi="Arial Narrow" w:cs="Calibri"/>
                <w:sz w:val="18"/>
                <w:szCs w:val="18"/>
                <w:lang w:eastAsia="fr-FR"/>
              </w:rPr>
              <w:t xml:space="preserve">BURRE-CASSOU </w:t>
            </w:r>
            <w:proofErr w:type="spellStart"/>
            <w:r w:rsidRPr="006603F4">
              <w:rPr>
                <w:rFonts w:ascii="Arial Narrow" w:eastAsia="Times New Roman" w:hAnsi="Arial Narrow" w:cs="Calibri"/>
                <w:sz w:val="18"/>
                <w:szCs w:val="18"/>
                <w:lang w:eastAsia="fr-FR"/>
              </w:rPr>
              <w:t>Marie-Pierre</w:t>
            </w:r>
            <w:proofErr w:type="spellEnd"/>
            <w:r>
              <w:rPr>
                <w:rFonts w:ascii="Arial Narrow" w:eastAsia="Times New Roman" w:hAnsi="Arial Narrow" w:cs="Calibri"/>
                <w:sz w:val="18"/>
                <w:szCs w:val="18"/>
                <w:lang w:eastAsia="fr-FR"/>
              </w:rPr>
              <w:t xml:space="preserve"> (à partir du rapport n°5)</w:t>
            </w:r>
          </w:p>
        </w:tc>
        <w:tc>
          <w:tcPr>
            <w:tcW w:w="2268" w:type="dxa"/>
            <w:tcBorders>
              <w:top w:val="nil"/>
              <w:left w:val="nil"/>
              <w:bottom w:val="nil"/>
              <w:right w:val="nil"/>
            </w:tcBorders>
            <w:shd w:val="clear" w:color="auto" w:fill="auto"/>
            <w:noWrap/>
            <w:vAlign w:val="bottom"/>
            <w:hideMark/>
          </w:tcPr>
          <w:p w14:paraId="168DF4EE" w14:textId="77777777" w:rsidR="00BA07AB" w:rsidRPr="006603F4" w:rsidRDefault="00BA07AB" w:rsidP="00552FAC">
            <w:pPr>
              <w:jc w:val="both"/>
              <w:rPr>
                <w:rFonts w:ascii="Arial Narrow" w:eastAsia="Times New Roman" w:hAnsi="Arial Narrow" w:cs="Calibri"/>
                <w:sz w:val="18"/>
                <w:szCs w:val="18"/>
                <w:lang w:eastAsia="fr-FR"/>
              </w:rPr>
            </w:pPr>
          </w:p>
        </w:tc>
      </w:tr>
      <w:tr w:rsidR="00BA07AB" w:rsidRPr="006603F4" w14:paraId="796B6CA4" w14:textId="77777777" w:rsidTr="00552FAC">
        <w:trPr>
          <w:gridAfter w:val="1"/>
          <w:wAfter w:w="14" w:type="dxa"/>
          <w:trHeight w:val="227"/>
        </w:trPr>
        <w:tc>
          <w:tcPr>
            <w:tcW w:w="3548" w:type="dxa"/>
            <w:tcBorders>
              <w:top w:val="nil"/>
              <w:left w:val="single" w:sz="4" w:space="0" w:color="auto"/>
              <w:bottom w:val="single" w:sz="4" w:space="0" w:color="auto"/>
              <w:right w:val="single" w:sz="4" w:space="0" w:color="auto"/>
            </w:tcBorders>
            <w:shd w:val="clear" w:color="auto" w:fill="auto"/>
            <w:noWrap/>
            <w:vAlign w:val="center"/>
            <w:hideMark/>
          </w:tcPr>
          <w:p w14:paraId="3B6AC05B" w14:textId="77777777" w:rsidR="00BA07AB" w:rsidRPr="006603F4" w:rsidRDefault="00BA07AB" w:rsidP="00552FAC">
            <w:pPr>
              <w:jc w:val="both"/>
              <w:rPr>
                <w:rFonts w:ascii="Arial Narrow" w:eastAsia="Times New Roman" w:hAnsi="Arial Narrow" w:cs="Calibri"/>
                <w:sz w:val="18"/>
                <w:szCs w:val="18"/>
                <w:lang w:eastAsia="fr-FR"/>
              </w:rPr>
            </w:pPr>
            <w:r w:rsidRPr="006603F4">
              <w:rPr>
                <w:rFonts w:ascii="Arial Narrow" w:eastAsia="Times New Roman" w:hAnsi="Arial Narrow" w:cs="Calibri"/>
                <w:sz w:val="18"/>
                <w:szCs w:val="18"/>
                <w:lang w:eastAsia="fr-FR"/>
              </w:rPr>
              <w:t>LASSERRE-DAVID Florence</w:t>
            </w:r>
          </w:p>
        </w:tc>
        <w:tc>
          <w:tcPr>
            <w:tcW w:w="3818" w:type="dxa"/>
            <w:tcBorders>
              <w:top w:val="nil"/>
              <w:left w:val="nil"/>
              <w:bottom w:val="single" w:sz="4" w:space="0" w:color="auto"/>
              <w:right w:val="single" w:sz="4" w:space="0" w:color="auto"/>
            </w:tcBorders>
            <w:shd w:val="clear" w:color="auto" w:fill="auto"/>
            <w:noWrap/>
            <w:vAlign w:val="center"/>
            <w:hideMark/>
          </w:tcPr>
          <w:p w14:paraId="0962369B" w14:textId="77777777" w:rsidR="00BA07AB" w:rsidRPr="006603F4" w:rsidRDefault="00BA07AB" w:rsidP="00552FAC">
            <w:pPr>
              <w:jc w:val="both"/>
              <w:rPr>
                <w:rFonts w:ascii="Arial Narrow" w:eastAsia="Times New Roman" w:hAnsi="Arial Narrow" w:cs="Calibri"/>
                <w:sz w:val="18"/>
                <w:szCs w:val="18"/>
                <w:lang w:eastAsia="fr-FR"/>
              </w:rPr>
            </w:pPr>
            <w:r w:rsidRPr="006603F4">
              <w:rPr>
                <w:rFonts w:ascii="Arial Narrow" w:eastAsia="Times New Roman" w:hAnsi="Arial Narrow" w:cs="Calibri"/>
                <w:sz w:val="18"/>
                <w:szCs w:val="18"/>
                <w:lang w:eastAsia="fr-FR"/>
              </w:rPr>
              <w:t>GOURGUES Jean-Paul</w:t>
            </w:r>
          </w:p>
        </w:tc>
        <w:tc>
          <w:tcPr>
            <w:tcW w:w="2268" w:type="dxa"/>
            <w:tcBorders>
              <w:top w:val="nil"/>
              <w:left w:val="nil"/>
              <w:bottom w:val="nil"/>
              <w:right w:val="nil"/>
            </w:tcBorders>
            <w:shd w:val="clear" w:color="auto" w:fill="auto"/>
            <w:noWrap/>
            <w:vAlign w:val="center"/>
            <w:hideMark/>
          </w:tcPr>
          <w:p w14:paraId="17D5A018" w14:textId="77777777" w:rsidR="00BA07AB" w:rsidRPr="006603F4" w:rsidRDefault="00BA07AB" w:rsidP="00552FAC">
            <w:pPr>
              <w:jc w:val="both"/>
              <w:rPr>
                <w:rFonts w:ascii="Arial Narrow" w:eastAsia="Times New Roman" w:hAnsi="Arial Narrow" w:cs="Calibri"/>
                <w:sz w:val="18"/>
                <w:szCs w:val="18"/>
                <w:lang w:eastAsia="fr-FR"/>
              </w:rPr>
            </w:pPr>
          </w:p>
        </w:tc>
      </w:tr>
      <w:tr w:rsidR="00BA07AB" w:rsidRPr="006603F4" w14:paraId="4301E57A" w14:textId="77777777" w:rsidTr="00552FAC">
        <w:trPr>
          <w:trHeight w:val="227"/>
        </w:trPr>
        <w:tc>
          <w:tcPr>
            <w:tcW w:w="9648" w:type="dxa"/>
            <w:gridSpan w:val="4"/>
            <w:tcBorders>
              <w:top w:val="nil"/>
              <w:left w:val="nil"/>
              <w:bottom w:val="nil"/>
              <w:right w:val="nil"/>
            </w:tcBorders>
            <w:shd w:val="clear" w:color="auto" w:fill="auto"/>
            <w:noWrap/>
            <w:vAlign w:val="bottom"/>
            <w:hideMark/>
          </w:tcPr>
          <w:p w14:paraId="2933CB10" w14:textId="77777777" w:rsidR="00BA07AB" w:rsidRPr="006603F4" w:rsidRDefault="00BA07AB" w:rsidP="00552FAC">
            <w:pPr>
              <w:rPr>
                <w:rFonts w:ascii="Calibri Light" w:eastAsia="Times New Roman" w:hAnsi="Calibri Light" w:cs="Calibri Light"/>
                <w:color w:val="000000"/>
                <w:sz w:val="22"/>
                <w:szCs w:val="22"/>
                <w:lang w:eastAsia="fr-FR"/>
              </w:rPr>
            </w:pPr>
            <w:r w:rsidRPr="006603F4">
              <w:rPr>
                <w:rFonts w:ascii="Calibri Light" w:eastAsia="Times New Roman" w:hAnsi="Calibri Light" w:cs="Calibri Light"/>
                <w:color w:val="000000"/>
                <w:sz w:val="22"/>
                <w:szCs w:val="22"/>
                <w:lang w:eastAsia="fr-FR"/>
              </w:rPr>
              <w:t>Procurations de titulaires excusés à des titulaires</w:t>
            </w:r>
          </w:p>
        </w:tc>
      </w:tr>
      <w:tr w:rsidR="00BA07AB" w:rsidRPr="006603F4" w14:paraId="3FAFBA0E" w14:textId="77777777" w:rsidTr="00552FAC">
        <w:trPr>
          <w:gridAfter w:val="1"/>
          <w:wAfter w:w="14" w:type="dxa"/>
          <w:trHeight w:val="227"/>
        </w:trPr>
        <w:tc>
          <w:tcPr>
            <w:tcW w:w="3548"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3ACD49CB" w14:textId="77777777" w:rsidR="00BA07AB" w:rsidRPr="006603F4" w:rsidRDefault="00BA07AB" w:rsidP="00552FAC">
            <w:pPr>
              <w:rPr>
                <w:rFonts w:ascii="Calibri Light" w:eastAsia="Times New Roman" w:hAnsi="Calibri Light" w:cs="Calibri Light"/>
                <w:color w:val="000000"/>
                <w:sz w:val="22"/>
                <w:szCs w:val="22"/>
                <w:lang w:eastAsia="fr-FR"/>
              </w:rPr>
            </w:pPr>
            <w:r w:rsidRPr="006603F4">
              <w:rPr>
                <w:rFonts w:ascii="Calibri Light" w:eastAsia="Times New Roman" w:hAnsi="Calibri Light" w:cs="Calibri Light"/>
                <w:color w:val="000000"/>
                <w:sz w:val="22"/>
                <w:szCs w:val="22"/>
                <w:lang w:eastAsia="fr-FR"/>
              </w:rPr>
              <w:t>Titulaires excusés</w:t>
            </w:r>
          </w:p>
        </w:tc>
        <w:tc>
          <w:tcPr>
            <w:tcW w:w="3818" w:type="dxa"/>
            <w:tcBorders>
              <w:top w:val="single" w:sz="4" w:space="0" w:color="auto"/>
              <w:left w:val="nil"/>
              <w:bottom w:val="single" w:sz="4" w:space="0" w:color="auto"/>
              <w:right w:val="single" w:sz="4" w:space="0" w:color="auto"/>
            </w:tcBorders>
            <w:shd w:val="clear" w:color="000000" w:fill="EEECE1"/>
            <w:noWrap/>
            <w:vAlign w:val="center"/>
            <w:hideMark/>
          </w:tcPr>
          <w:p w14:paraId="7094CDBB" w14:textId="77777777" w:rsidR="00BA07AB" w:rsidRPr="006603F4" w:rsidRDefault="00BA07AB" w:rsidP="00552FAC">
            <w:pPr>
              <w:rPr>
                <w:rFonts w:ascii="Calibri Light" w:eastAsia="Times New Roman" w:hAnsi="Calibri Light" w:cs="Calibri Light"/>
                <w:color w:val="000000"/>
                <w:sz w:val="22"/>
                <w:szCs w:val="22"/>
                <w:lang w:eastAsia="fr-FR"/>
              </w:rPr>
            </w:pPr>
            <w:r w:rsidRPr="006603F4">
              <w:rPr>
                <w:rFonts w:ascii="Calibri Light" w:eastAsia="Times New Roman" w:hAnsi="Calibri Light" w:cs="Calibri Light"/>
                <w:color w:val="000000"/>
                <w:sz w:val="22"/>
                <w:szCs w:val="22"/>
                <w:lang w:eastAsia="fr-FR"/>
              </w:rPr>
              <w:t>Titulaires désignés</w:t>
            </w:r>
          </w:p>
        </w:tc>
        <w:tc>
          <w:tcPr>
            <w:tcW w:w="2268" w:type="dxa"/>
            <w:tcBorders>
              <w:top w:val="nil"/>
              <w:left w:val="nil"/>
              <w:bottom w:val="nil"/>
              <w:right w:val="nil"/>
            </w:tcBorders>
            <w:shd w:val="clear" w:color="auto" w:fill="auto"/>
            <w:noWrap/>
            <w:vAlign w:val="center"/>
            <w:hideMark/>
          </w:tcPr>
          <w:p w14:paraId="17A568BC" w14:textId="77777777" w:rsidR="00BA07AB" w:rsidRPr="006603F4" w:rsidRDefault="00BA07AB" w:rsidP="00552FAC">
            <w:pPr>
              <w:rPr>
                <w:rFonts w:ascii="Calibri Light" w:eastAsia="Times New Roman" w:hAnsi="Calibri Light" w:cs="Calibri Light"/>
                <w:color w:val="000000"/>
                <w:sz w:val="22"/>
                <w:szCs w:val="22"/>
                <w:lang w:eastAsia="fr-FR"/>
              </w:rPr>
            </w:pPr>
          </w:p>
        </w:tc>
      </w:tr>
      <w:tr w:rsidR="00BA07AB" w:rsidRPr="006603F4" w14:paraId="084A3763" w14:textId="77777777" w:rsidTr="00552FAC">
        <w:trPr>
          <w:gridAfter w:val="1"/>
          <w:wAfter w:w="14" w:type="dxa"/>
          <w:trHeight w:val="227"/>
        </w:trPr>
        <w:tc>
          <w:tcPr>
            <w:tcW w:w="3548" w:type="dxa"/>
            <w:tcBorders>
              <w:top w:val="nil"/>
              <w:left w:val="single" w:sz="4" w:space="0" w:color="auto"/>
              <w:bottom w:val="single" w:sz="4" w:space="0" w:color="auto"/>
              <w:right w:val="single" w:sz="4" w:space="0" w:color="auto"/>
            </w:tcBorders>
            <w:shd w:val="clear" w:color="auto" w:fill="auto"/>
            <w:noWrap/>
            <w:vAlign w:val="center"/>
            <w:hideMark/>
          </w:tcPr>
          <w:p w14:paraId="5381890C" w14:textId="77777777" w:rsidR="00BA07AB" w:rsidRPr="006603F4" w:rsidRDefault="00BA07AB" w:rsidP="00552FAC">
            <w:pPr>
              <w:jc w:val="both"/>
              <w:rPr>
                <w:rFonts w:ascii="Arial Narrow" w:eastAsia="Times New Roman" w:hAnsi="Arial Narrow" w:cs="Calibri"/>
                <w:sz w:val="18"/>
                <w:szCs w:val="18"/>
                <w:lang w:eastAsia="fr-FR"/>
              </w:rPr>
            </w:pPr>
            <w:r w:rsidRPr="006603F4">
              <w:rPr>
                <w:rFonts w:ascii="Arial Narrow" w:eastAsia="Times New Roman" w:hAnsi="Arial Narrow" w:cs="Calibri"/>
                <w:sz w:val="18"/>
                <w:szCs w:val="18"/>
                <w:lang w:eastAsia="fr-FR"/>
              </w:rPr>
              <w:t>ETCHEGARAY Jean-René (à partir du rapport n°13)</w:t>
            </w:r>
          </w:p>
        </w:tc>
        <w:tc>
          <w:tcPr>
            <w:tcW w:w="3818" w:type="dxa"/>
            <w:tcBorders>
              <w:top w:val="nil"/>
              <w:left w:val="nil"/>
              <w:bottom w:val="single" w:sz="4" w:space="0" w:color="auto"/>
              <w:right w:val="single" w:sz="4" w:space="0" w:color="auto"/>
            </w:tcBorders>
            <w:shd w:val="clear" w:color="auto" w:fill="auto"/>
            <w:noWrap/>
            <w:vAlign w:val="center"/>
            <w:hideMark/>
          </w:tcPr>
          <w:p w14:paraId="2B7362A8" w14:textId="77777777" w:rsidR="00BA07AB" w:rsidRPr="006603F4" w:rsidRDefault="00BA07AB" w:rsidP="00552FAC">
            <w:pPr>
              <w:jc w:val="both"/>
              <w:rPr>
                <w:rFonts w:ascii="Arial Narrow" w:eastAsia="Times New Roman" w:hAnsi="Arial Narrow" w:cs="Calibri"/>
                <w:sz w:val="18"/>
                <w:szCs w:val="18"/>
                <w:lang w:eastAsia="fr-FR"/>
              </w:rPr>
            </w:pPr>
            <w:r w:rsidRPr="006603F4">
              <w:rPr>
                <w:rFonts w:ascii="Arial Narrow" w:eastAsia="Times New Roman" w:hAnsi="Arial Narrow" w:cs="Calibri"/>
                <w:sz w:val="18"/>
                <w:szCs w:val="18"/>
                <w:lang w:eastAsia="fr-FR"/>
              </w:rPr>
              <w:t>LAFLAQUIERE Jean-Pierre</w:t>
            </w:r>
          </w:p>
        </w:tc>
        <w:tc>
          <w:tcPr>
            <w:tcW w:w="2268" w:type="dxa"/>
            <w:tcBorders>
              <w:top w:val="nil"/>
              <w:left w:val="nil"/>
              <w:bottom w:val="nil"/>
              <w:right w:val="nil"/>
            </w:tcBorders>
            <w:shd w:val="clear" w:color="auto" w:fill="auto"/>
            <w:noWrap/>
            <w:vAlign w:val="bottom"/>
            <w:hideMark/>
          </w:tcPr>
          <w:p w14:paraId="049CA3F2" w14:textId="77777777" w:rsidR="00BA07AB" w:rsidRPr="006603F4" w:rsidRDefault="00BA07AB" w:rsidP="00552FAC">
            <w:pPr>
              <w:jc w:val="both"/>
              <w:rPr>
                <w:rFonts w:ascii="Arial Narrow" w:eastAsia="Times New Roman" w:hAnsi="Arial Narrow" w:cs="Calibri"/>
                <w:sz w:val="18"/>
                <w:szCs w:val="18"/>
                <w:lang w:eastAsia="fr-FR"/>
              </w:rPr>
            </w:pPr>
          </w:p>
        </w:tc>
      </w:tr>
      <w:tr w:rsidR="00BA07AB" w:rsidRPr="006603F4" w14:paraId="37735E9E" w14:textId="77777777" w:rsidTr="00552FAC">
        <w:trPr>
          <w:gridAfter w:val="1"/>
          <w:wAfter w:w="14" w:type="dxa"/>
          <w:trHeight w:val="227"/>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14:paraId="223B747C" w14:textId="77777777" w:rsidR="00BA07AB" w:rsidRPr="006603F4" w:rsidRDefault="00BA07AB" w:rsidP="00552FAC">
            <w:pPr>
              <w:rPr>
                <w:rFonts w:ascii="Arial Narrow" w:eastAsia="Times New Roman" w:hAnsi="Arial Narrow" w:cs="Calibri"/>
                <w:sz w:val="18"/>
                <w:szCs w:val="18"/>
                <w:lang w:eastAsia="fr-FR"/>
              </w:rPr>
            </w:pPr>
            <w:r w:rsidRPr="006603F4">
              <w:rPr>
                <w:rFonts w:ascii="Arial Narrow" w:eastAsia="Times New Roman" w:hAnsi="Arial Narrow" w:cs="Calibri"/>
                <w:sz w:val="18"/>
                <w:szCs w:val="18"/>
                <w:lang w:eastAsia="fr-FR"/>
              </w:rPr>
              <w:t>FONTAINE Arnaud</w:t>
            </w:r>
          </w:p>
        </w:tc>
        <w:tc>
          <w:tcPr>
            <w:tcW w:w="3818" w:type="dxa"/>
            <w:tcBorders>
              <w:top w:val="nil"/>
              <w:left w:val="nil"/>
              <w:bottom w:val="single" w:sz="4" w:space="0" w:color="auto"/>
              <w:right w:val="single" w:sz="4" w:space="0" w:color="auto"/>
            </w:tcBorders>
            <w:shd w:val="clear" w:color="auto" w:fill="auto"/>
            <w:noWrap/>
            <w:vAlign w:val="center"/>
            <w:hideMark/>
          </w:tcPr>
          <w:p w14:paraId="5DF07044" w14:textId="77777777" w:rsidR="00BA07AB" w:rsidRPr="006603F4" w:rsidRDefault="00BA07AB" w:rsidP="00552FAC">
            <w:pPr>
              <w:jc w:val="both"/>
              <w:rPr>
                <w:rFonts w:ascii="Arial Narrow" w:eastAsia="Times New Roman" w:hAnsi="Arial Narrow" w:cs="Calibri"/>
                <w:sz w:val="18"/>
                <w:szCs w:val="18"/>
                <w:lang w:eastAsia="fr-FR"/>
              </w:rPr>
            </w:pPr>
            <w:r w:rsidRPr="006603F4">
              <w:rPr>
                <w:rFonts w:ascii="Arial Narrow" w:eastAsia="Times New Roman" w:hAnsi="Arial Narrow" w:cs="Calibri"/>
                <w:sz w:val="18"/>
                <w:szCs w:val="18"/>
                <w:lang w:eastAsia="fr-FR"/>
              </w:rPr>
              <w:t>OLIVE Claude</w:t>
            </w:r>
          </w:p>
        </w:tc>
        <w:tc>
          <w:tcPr>
            <w:tcW w:w="2268" w:type="dxa"/>
            <w:tcBorders>
              <w:top w:val="nil"/>
              <w:left w:val="nil"/>
              <w:bottom w:val="nil"/>
              <w:right w:val="nil"/>
            </w:tcBorders>
            <w:shd w:val="clear" w:color="auto" w:fill="auto"/>
            <w:noWrap/>
            <w:vAlign w:val="bottom"/>
            <w:hideMark/>
          </w:tcPr>
          <w:p w14:paraId="6C0FDBE2" w14:textId="77777777" w:rsidR="00BA07AB" w:rsidRPr="006603F4" w:rsidRDefault="00BA07AB" w:rsidP="00552FAC">
            <w:pPr>
              <w:jc w:val="both"/>
              <w:rPr>
                <w:rFonts w:ascii="Arial Narrow" w:eastAsia="Times New Roman" w:hAnsi="Arial Narrow" w:cs="Calibri"/>
                <w:sz w:val="18"/>
                <w:szCs w:val="18"/>
                <w:lang w:eastAsia="fr-FR"/>
              </w:rPr>
            </w:pPr>
          </w:p>
        </w:tc>
      </w:tr>
      <w:tr w:rsidR="00BA07AB" w:rsidRPr="006603F4" w14:paraId="67725941" w14:textId="77777777" w:rsidTr="00552FAC">
        <w:trPr>
          <w:gridAfter w:val="1"/>
          <w:wAfter w:w="14" w:type="dxa"/>
          <w:trHeight w:val="227"/>
        </w:trPr>
        <w:tc>
          <w:tcPr>
            <w:tcW w:w="3548" w:type="dxa"/>
            <w:tcBorders>
              <w:top w:val="nil"/>
              <w:left w:val="single" w:sz="4" w:space="0" w:color="auto"/>
              <w:bottom w:val="single" w:sz="4" w:space="0" w:color="auto"/>
              <w:right w:val="single" w:sz="4" w:space="0" w:color="auto"/>
            </w:tcBorders>
            <w:shd w:val="clear" w:color="auto" w:fill="auto"/>
            <w:noWrap/>
            <w:vAlign w:val="center"/>
            <w:hideMark/>
          </w:tcPr>
          <w:p w14:paraId="6001B46E" w14:textId="77777777" w:rsidR="00BA07AB" w:rsidRPr="006603F4" w:rsidRDefault="00BA07AB" w:rsidP="00552FAC">
            <w:pPr>
              <w:jc w:val="both"/>
              <w:rPr>
                <w:rFonts w:ascii="Arial Narrow" w:eastAsia="Times New Roman" w:hAnsi="Arial Narrow" w:cs="Calibri"/>
                <w:sz w:val="18"/>
                <w:szCs w:val="18"/>
                <w:lang w:eastAsia="fr-FR"/>
              </w:rPr>
            </w:pPr>
            <w:r w:rsidRPr="006603F4">
              <w:rPr>
                <w:rFonts w:ascii="Arial Narrow" w:eastAsia="Times New Roman" w:hAnsi="Arial Narrow" w:cs="Calibri"/>
                <w:sz w:val="18"/>
                <w:szCs w:val="18"/>
                <w:lang w:eastAsia="fr-FR"/>
              </w:rPr>
              <w:t>IBARLUCIA Michel</w:t>
            </w:r>
          </w:p>
        </w:tc>
        <w:tc>
          <w:tcPr>
            <w:tcW w:w="3818" w:type="dxa"/>
            <w:tcBorders>
              <w:top w:val="nil"/>
              <w:left w:val="nil"/>
              <w:bottom w:val="single" w:sz="4" w:space="0" w:color="auto"/>
              <w:right w:val="single" w:sz="4" w:space="0" w:color="auto"/>
            </w:tcBorders>
            <w:shd w:val="clear" w:color="auto" w:fill="auto"/>
            <w:noWrap/>
            <w:vAlign w:val="center"/>
            <w:hideMark/>
          </w:tcPr>
          <w:p w14:paraId="3C73C26B" w14:textId="77777777" w:rsidR="00BA07AB" w:rsidRPr="006603F4" w:rsidRDefault="00BA07AB" w:rsidP="00552FAC">
            <w:pPr>
              <w:jc w:val="both"/>
              <w:rPr>
                <w:rFonts w:ascii="Arial Narrow" w:eastAsia="Times New Roman" w:hAnsi="Arial Narrow" w:cs="Calibri"/>
                <w:sz w:val="18"/>
                <w:szCs w:val="18"/>
                <w:lang w:eastAsia="fr-FR"/>
              </w:rPr>
            </w:pPr>
            <w:r w:rsidRPr="006603F4">
              <w:rPr>
                <w:rFonts w:ascii="Arial Narrow" w:eastAsia="Times New Roman" w:hAnsi="Arial Narrow" w:cs="Calibri"/>
                <w:sz w:val="18"/>
                <w:szCs w:val="18"/>
                <w:lang w:eastAsia="fr-FR"/>
              </w:rPr>
              <w:t>ETCHEGARAY Jean-René</w:t>
            </w:r>
          </w:p>
        </w:tc>
        <w:tc>
          <w:tcPr>
            <w:tcW w:w="2268" w:type="dxa"/>
            <w:tcBorders>
              <w:top w:val="nil"/>
              <w:left w:val="nil"/>
              <w:bottom w:val="nil"/>
              <w:right w:val="nil"/>
            </w:tcBorders>
            <w:shd w:val="clear" w:color="auto" w:fill="auto"/>
            <w:noWrap/>
            <w:vAlign w:val="bottom"/>
            <w:hideMark/>
          </w:tcPr>
          <w:p w14:paraId="3FF65046" w14:textId="77777777" w:rsidR="00BA07AB" w:rsidRPr="006603F4" w:rsidRDefault="00BA07AB" w:rsidP="00552FAC">
            <w:pPr>
              <w:jc w:val="both"/>
              <w:rPr>
                <w:rFonts w:ascii="Arial Narrow" w:eastAsia="Times New Roman" w:hAnsi="Arial Narrow" w:cs="Calibri"/>
                <w:sz w:val="18"/>
                <w:szCs w:val="18"/>
                <w:lang w:eastAsia="fr-FR"/>
              </w:rPr>
            </w:pPr>
          </w:p>
        </w:tc>
      </w:tr>
      <w:tr w:rsidR="00BA07AB" w:rsidRPr="006603F4" w14:paraId="47EA0F07" w14:textId="77777777" w:rsidTr="00552FAC">
        <w:trPr>
          <w:gridAfter w:val="1"/>
          <w:wAfter w:w="14" w:type="dxa"/>
          <w:trHeight w:val="227"/>
        </w:trPr>
        <w:tc>
          <w:tcPr>
            <w:tcW w:w="3548" w:type="dxa"/>
            <w:tcBorders>
              <w:top w:val="nil"/>
              <w:left w:val="single" w:sz="4" w:space="0" w:color="auto"/>
              <w:bottom w:val="single" w:sz="4" w:space="0" w:color="auto"/>
              <w:right w:val="single" w:sz="4" w:space="0" w:color="auto"/>
            </w:tcBorders>
            <w:shd w:val="clear" w:color="auto" w:fill="auto"/>
            <w:noWrap/>
            <w:vAlign w:val="center"/>
            <w:hideMark/>
          </w:tcPr>
          <w:p w14:paraId="28D70BED" w14:textId="77777777" w:rsidR="00BA07AB" w:rsidRPr="006603F4" w:rsidRDefault="00BA07AB" w:rsidP="00552FAC">
            <w:pPr>
              <w:jc w:val="both"/>
              <w:rPr>
                <w:rFonts w:ascii="Arial Narrow" w:eastAsia="Times New Roman" w:hAnsi="Arial Narrow" w:cs="Calibri"/>
                <w:sz w:val="18"/>
                <w:szCs w:val="18"/>
                <w:lang w:eastAsia="fr-FR"/>
              </w:rPr>
            </w:pPr>
            <w:r w:rsidRPr="006603F4">
              <w:rPr>
                <w:rFonts w:ascii="Arial Narrow" w:eastAsia="Times New Roman" w:hAnsi="Arial Narrow" w:cs="Calibri"/>
                <w:sz w:val="18"/>
                <w:szCs w:val="18"/>
                <w:lang w:eastAsia="fr-FR"/>
              </w:rPr>
              <w:t>MENDIBURU Paul</w:t>
            </w:r>
          </w:p>
        </w:tc>
        <w:tc>
          <w:tcPr>
            <w:tcW w:w="3818" w:type="dxa"/>
            <w:tcBorders>
              <w:top w:val="nil"/>
              <w:left w:val="nil"/>
              <w:bottom w:val="single" w:sz="4" w:space="0" w:color="auto"/>
              <w:right w:val="single" w:sz="4" w:space="0" w:color="auto"/>
            </w:tcBorders>
            <w:shd w:val="clear" w:color="auto" w:fill="auto"/>
            <w:noWrap/>
            <w:vAlign w:val="center"/>
            <w:hideMark/>
          </w:tcPr>
          <w:p w14:paraId="5CF1397F" w14:textId="77777777" w:rsidR="00BA07AB" w:rsidRPr="006603F4" w:rsidRDefault="00BA07AB" w:rsidP="00552FAC">
            <w:pPr>
              <w:jc w:val="both"/>
              <w:rPr>
                <w:rFonts w:ascii="Arial Narrow" w:eastAsia="Times New Roman" w:hAnsi="Arial Narrow" w:cs="Calibri"/>
                <w:sz w:val="18"/>
                <w:szCs w:val="18"/>
                <w:lang w:eastAsia="fr-FR"/>
              </w:rPr>
            </w:pPr>
            <w:r w:rsidRPr="006603F4">
              <w:rPr>
                <w:rFonts w:ascii="Arial Narrow" w:eastAsia="Times New Roman" w:hAnsi="Arial Narrow" w:cs="Calibri"/>
                <w:sz w:val="18"/>
                <w:szCs w:val="18"/>
                <w:lang w:eastAsia="fr-FR"/>
              </w:rPr>
              <w:t>DAGORRET François</w:t>
            </w:r>
          </w:p>
        </w:tc>
        <w:tc>
          <w:tcPr>
            <w:tcW w:w="2268" w:type="dxa"/>
            <w:tcBorders>
              <w:top w:val="nil"/>
              <w:left w:val="nil"/>
              <w:bottom w:val="nil"/>
              <w:right w:val="nil"/>
            </w:tcBorders>
            <w:shd w:val="clear" w:color="auto" w:fill="auto"/>
            <w:noWrap/>
            <w:vAlign w:val="bottom"/>
            <w:hideMark/>
          </w:tcPr>
          <w:p w14:paraId="2D379208" w14:textId="77777777" w:rsidR="00BA07AB" w:rsidRPr="006603F4" w:rsidRDefault="00BA07AB" w:rsidP="00552FAC">
            <w:pPr>
              <w:jc w:val="both"/>
              <w:rPr>
                <w:rFonts w:ascii="Arial Narrow" w:eastAsia="Times New Roman" w:hAnsi="Arial Narrow" w:cs="Calibri"/>
                <w:sz w:val="18"/>
                <w:szCs w:val="18"/>
                <w:lang w:eastAsia="fr-FR"/>
              </w:rPr>
            </w:pPr>
          </w:p>
        </w:tc>
      </w:tr>
    </w:tbl>
    <w:p w14:paraId="54C7F9D6" w14:textId="77777777" w:rsidR="002A29F6" w:rsidRPr="005F262E" w:rsidRDefault="005F262E" w:rsidP="00E234D3">
      <w:pPr>
        <w:rPr>
          <w:rFonts w:ascii="Arial Narrow" w:hAnsi="Arial Narrow" w:cs="Arial"/>
          <w:sz w:val="22"/>
          <w:szCs w:val="22"/>
        </w:rPr>
      </w:pPr>
      <w:r w:rsidRPr="005F262E">
        <w:rPr>
          <w:rFonts w:ascii="Arial Narrow" w:hAnsi="Arial Narrow" w:cs="Arial"/>
          <w:sz w:val="22"/>
          <w:szCs w:val="22"/>
          <w:u w:val="single"/>
        </w:rPr>
        <w:t>Secrétaire de séance</w:t>
      </w:r>
      <w:r w:rsidRPr="005F262E">
        <w:rPr>
          <w:rFonts w:ascii="Arial Narrow" w:hAnsi="Arial Narrow" w:cs="Arial"/>
          <w:sz w:val="22"/>
          <w:szCs w:val="22"/>
        </w:rPr>
        <w:t xml:space="preserve"> : </w:t>
      </w:r>
      <w:r w:rsidR="001C6499">
        <w:rPr>
          <w:rFonts w:ascii="Arial Narrow" w:hAnsi="Arial Narrow" w:cs="Arial"/>
          <w:sz w:val="22"/>
          <w:szCs w:val="22"/>
        </w:rPr>
        <w:t>Emmanuel ALZURI</w:t>
      </w:r>
    </w:p>
    <w:p w14:paraId="16C860A9" w14:textId="77777777" w:rsidR="002A29F6" w:rsidRPr="00DD2F9B" w:rsidRDefault="002A29F6" w:rsidP="00E234D3">
      <w:pPr>
        <w:rPr>
          <w:rFonts w:ascii="Arial Narrow" w:hAnsi="Arial Narrow" w:cs="Arial"/>
          <w:b/>
          <w:sz w:val="22"/>
          <w:szCs w:val="22"/>
        </w:rPr>
      </w:pPr>
    </w:p>
    <w:p w14:paraId="377B90AC" w14:textId="77777777" w:rsidR="00204994" w:rsidRPr="00204994" w:rsidRDefault="00204994" w:rsidP="00204994">
      <w:pPr>
        <w:tabs>
          <w:tab w:val="left" w:pos="3720"/>
        </w:tabs>
        <w:jc w:val="both"/>
        <w:rPr>
          <w:rFonts w:ascii="Arial Narrow" w:hAnsi="Arial Narrow" w:cs="Arial"/>
          <w:b/>
          <w:sz w:val="22"/>
          <w:szCs w:val="22"/>
          <w:u w:val="single"/>
        </w:rPr>
      </w:pPr>
      <w:r w:rsidRPr="00204994">
        <w:rPr>
          <w:rFonts w:ascii="Arial Narrow" w:hAnsi="Arial Narrow" w:cs="Arial"/>
          <w:b/>
          <w:sz w:val="22"/>
          <w:szCs w:val="22"/>
          <w:u w:val="single"/>
        </w:rPr>
        <w:t>OJ N°13 – ADOPTION DU REFERENTIEL TECHNIQUE D’AMENAGEMENT DES POINTS D’ARRET DE TRANSPORT EN COMMUN DU SMPBA</w:t>
      </w:r>
      <w:r w:rsidRPr="00204994">
        <w:rPr>
          <w:rFonts w:ascii="Arial Narrow" w:hAnsi="Arial Narrow"/>
          <w:b/>
          <w:bCs/>
          <w:sz w:val="22"/>
          <w:szCs w:val="22"/>
          <w:u w:val="single"/>
        </w:rPr>
        <w:t xml:space="preserve"> </w:t>
      </w:r>
    </w:p>
    <w:p w14:paraId="1A69E7A2" w14:textId="77777777" w:rsidR="00204994" w:rsidRPr="00204994" w:rsidRDefault="00204994" w:rsidP="00204994">
      <w:pPr>
        <w:tabs>
          <w:tab w:val="left" w:pos="3720"/>
        </w:tabs>
        <w:jc w:val="both"/>
        <w:rPr>
          <w:rFonts w:ascii="Arial Narrow" w:hAnsi="Arial Narrow" w:cs="Arial"/>
          <w:sz w:val="22"/>
          <w:szCs w:val="22"/>
          <w:u w:val="single"/>
        </w:rPr>
      </w:pPr>
    </w:p>
    <w:p w14:paraId="6BE800D3" w14:textId="77777777" w:rsidR="00204994" w:rsidRPr="00204994" w:rsidRDefault="00204994" w:rsidP="00204994">
      <w:pPr>
        <w:tabs>
          <w:tab w:val="left" w:pos="3720"/>
        </w:tabs>
        <w:jc w:val="both"/>
        <w:rPr>
          <w:rFonts w:ascii="Arial Narrow" w:eastAsia="Calibri" w:hAnsi="Arial Narrow" w:cs="Calibri"/>
          <w:b/>
          <w:bCs/>
          <w:sz w:val="22"/>
          <w:szCs w:val="22"/>
          <w:u w:val="single"/>
        </w:rPr>
      </w:pPr>
      <w:r w:rsidRPr="00204994">
        <w:rPr>
          <w:rFonts w:ascii="Arial Narrow" w:eastAsia="Calibri" w:hAnsi="Arial Narrow" w:cs="Calibri"/>
          <w:b/>
          <w:bCs/>
          <w:sz w:val="22"/>
          <w:szCs w:val="22"/>
          <w:u w:val="single"/>
        </w:rPr>
        <w:t>Contexte :</w:t>
      </w:r>
    </w:p>
    <w:p w14:paraId="3E7489BA" w14:textId="77777777" w:rsidR="00204994" w:rsidRPr="00204994" w:rsidRDefault="00204994" w:rsidP="00204994">
      <w:pPr>
        <w:tabs>
          <w:tab w:val="left" w:pos="3720"/>
        </w:tabs>
        <w:jc w:val="both"/>
        <w:rPr>
          <w:rFonts w:ascii="Arial Narrow" w:eastAsia="Calibri" w:hAnsi="Arial Narrow" w:cs="Calibri"/>
          <w:b/>
          <w:bCs/>
          <w:sz w:val="22"/>
          <w:szCs w:val="22"/>
        </w:rPr>
      </w:pPr>
    </w:p>
    <w:p w14:paraId="17D46DC7" w14:textId="77777777" w:rsidR="00204994" w:rsidRPr="00204994" w:rsidRDefault="00204994" w:rsidP="00204994">
      <w:pPr>
        <w:tabs>
          <w:tab w:val="left" w:pos="3720"/>
        </w:tabs>
        <w:jc w:val="both"/>
        <w:rPr>
          <w:rFonts w:ascii="Arial Narrow" w:eastAsia="Calibri" w:hAnsi="Arial Narrow" w:cs="Calibri"/>
          <w:sz w:val="22"/>
          <w:szCs w:val="22"/>
        </w:rPr>
      </w:pPr>
      <w:r w:rsidRPr="00204994">
        <w:rPr>
          <w:rFonts w:ascii="Arial Narrow" w:eastAsia="Calibri" w:hAnsi="Arial Narrow" w:cs="Calibri"/>
          <w:sz w:val="22"/>
          <w:szCs w:val="22"/>
        </w:rPr>
        <w:t xml:space="preserve">La Communauté d’agglomération Pays Basque (CAPB° a, lors de sa création, transféré sa compétence mobilité au SMPBA. L’effet d’opportunité induit a permis d’étoffer et de mieux coordonner les offres de mobilités sur l’ensemble du ressort territorial des mobilités du Syndicat des mobilités Pays Basque-Adour (SMPBA). </w:t>
      </w:r>
    </w:p>
    <w:p w14:paraId="4B843087" w14:textId="77777777" w:rsidR="00204994" w:rsidRPr="00204994" w:rsidRDefault="00204994" w:rsidP="00204994">
      <w:pPr>
        <w:tabs>
          <w:tab w:val="left" w:pos="3720"/>
        </w:tabs>
        <w:jc w:val="both"/>
        <w:rPr>
          <w:rFonts w:ascii="Arial Narrow" w:eastAsia="Calibri" w:hAnsi="Arial Narrow" w:cs="Calibri"/>
          <w:sz w:val="22"/>
          <w:szCs w:val="22"/>
        </w:rPr>
      </w:pPr>
    </w:p>
    <w:p w14:paraId="29467E97" w14:textId="77777777" w:rsidR="00204994" w:rsidRPr="00204994" w:rsidRDefault="00204994" w:rsidP="00204994">
      <w:pPr>
        <w:tabs>
          <w:tab w:val="left" w:pos="3720"/>
        </w:tabs>
        <w:jc w:val="both"/>
        <w:rPr>
          <w:rFonts w:ascii="Arial Narrow" w:eastAsia="Calibri" w:hAnsi="Arial Narrow" w:cs="Calibri"/>
          <w:sz w:val="22"/>
          <w:szCs w:val="22"/>
        </w:rPr>
      </w:pPr>
      <w:r w:rsidRPr="00204994">
        <w:rPr>
          <w:rFonts w:ascii="Arial Narrow" w:eastAsia="Calibri" w:hAnsi="Arial Narrow" w:cs="Calibri"/>
          <w:sz w:val="22"/>
          <w:szCs w:val="22"/>
        </w:rPr>
        <w:t xml:space="preserve">Dans la logique impulsée par l’évolution de l’offre de service du réseau </w:t>
      </w:r>
      <w:proofErr w:type="spellStart"/>
      <w:r w:rsidRPr="00204994">
        <w:rPr>
          <w:rFonts w:ascii="Arial Narrow" w:eastAsia="Calibri" w:hAnsi="Arial Narrow" w:cs="Calibri"/>
          <w:sz w:val="22"/>
          <w:szCs w:val="22"/>
        </w:rPr>
        <w:t>Txik</w:t>
      </w:r>
      <w:proofErr w:type="spellEnd"/>
      <w:r w:rsidRPr="00204994">
        <w:rPr>
          <w:rFonts w:ascii="Arial Narrow" w:eastAsia="Calibri" w:hAnsi="Arial Narrow" w:cs="Calibri"/>
          <w:sz w:val="22"/>
          <w:szCs w:val="22"/>
        </w:rPr>
        <w:t xml:space="preserve"> </w:t>
      </w:r>
      <w:proofErr w:type="spellStart"/>
      <w:r w:rsidRPr="00204994">
        <w:rPr>
          <w:rFonts w:ascii="Arial Narrow" w:eastAsia="Calibri" w:hAnsi="Arial Narrow" w:cs="Calibri"/>
          <w:sz w:val="22"/>
          <w:szCs w:val="22"/>
        </w:rPr>
        <w:t>Txak</w:t>
      </w:r>
      <w:proofErr w:type="spellEnd"/>
      <w:r w:rsidRPr="00204994">
        <w:rPr>
          <w:rFonts w:ascii="Arial Narrow" w:eastAsia="Calibri" w:hAnsi="Arial Narrow" w:cs="Calibri"/>
          <w:sz w:val="22"/>
          <w:szCs w:val="22"/>
        </w:rPr>
        <w:t xml:space="preserve">, il convient, sur un plan plus opérationnel, de donner une lisibilité et une homogénéisation de l’ensemble des aménagements liés de près ou de loin à la mobilité, et ce qu’ils soient portés par le SMPBA, la CAPB ou encore les communes. </w:t>
      </w:r>
    </w:p>
    <w:p w14:paraId="10732EA4" w14:textId="77777777" w:rsidR="00204994" w:rsidRPr="00204994" w:rsidRDefault="00204994" w:rsidP="00204994">
      <w:pPr>
        <w:tabs>
          <w:tab w:val="left" w:pos="3720"/>
        </w:tabs>
        <w:jc w:val="both"/>
        <w:rPr>
          <w:rFonts w:ascii="Arial Narrow" w:eastAsia="Calibri" w:hAnsi="Arial Narrow" w:cs="Calibri"/>
          <w:sz w:val="22"/>
          <w:szCs w:val="22"/>
        </w:rPr>
      </w:pPr>
    </w:p>
    <w:p w14:paraId="2DD0FD81" w14:textId="77777777" w:rsidR="00204994" w:rsidRPr="00204994" w:rsidRDefault="00204994" w:rsidP="00204994">
      <w:pPr>
        <w:tabs>
          <w:tab w:val="left" w:pos="3720"/>
        </w:tabs>
        <w:jc w:val="both"/>
        <w:rPr>
          <w:rFonts w:ascii="Arial Narrow" w:hAnsi="Arial Narrow"/>
          <w:sz w:val="22"/>
          <w:szCs w:val="22"/>
        </w:rPr>
      </w:pPr>
      <w:r w:rsidRPr="00204994">
        <w:rPr>
          <w:rFonts w:ascii="Arial Narrow" w:eastAsia="Calibri" w:hAnsi="Arial Narrow" w:cs="Calibri"/>
          <w:sz w:val="22"/>
          <w:szCs w:val="22"/>
        </w:rPr>
        <w:t xml:space="preserve">Le SMPBA et la CAPB ont à cet effet collaboré à l’établissement d’un référentiel technique d’aménagement des points d’arrêts de transports en commun, document porté et conçu par la Mission Accessibilité de la CAPB et le Service Infrastructures du SMPBA. L’élaboration de ce document a aussi fait l’objet d’une collaboration avec les services techniques des villes de plus de 5 000 habitants sur le ressort territorial du SMPBA. </w:t>
      </w:r>
      <w:r w:rsidRPr="00204994">
        <w:rPr>
          <w:rFonts w:ascii="Arial Narrow" w:hAnsi="Arial Narrow"/>
          <w:sz w:val="22"/>
          <w:szCs w:val="22"/>
        </w:rPr>
        <w:t>(Anglet – Biarritz – Bayonne – Bidart – Boucau – Cambo-les-Bains – Ciboure – Hasparren – Hendaye – Mouguerre – Saint-Jean-de-Luz – Saint-Pée-sur-Nivelle – Urrugne – Ustaritz).</w:t>
      </w:r>
    </w:p>
    <w:p w14:paraId="459A12FB" w14:textId="77777777" w:rsidR="00204994" w:rsidRPr="00204994" w:rsidRDefault="00204994" w:rsidP="00204994">
      <w:pPr>
        <w:keepNext/>
        <w:spacing w:before="480" w:line="276" w:lineRule="auto"/>
        <w:jc w:val="both"/>
        <w:outlineLvl w:val="2"/>
        <w:rPr>
          <w:rFonts w:ascii="Arial Narrow" w:eastAsia="Calibri" w:hAnsi="Arial Narrow" w:cs="Calibri"/>
          <w:b/>
          <w:bCs/>
          <w:sz w:val="22"/>
          <w:szCs w:val="22"/>
          <w:u w:val="single"/>
        </w:rPr>
      </w:pPr>
      <w:r w:rsidRPr="00204994">
        <w:rPr>
          <w:rFonts w:ascii="Arial Narrow" w:eastAsia="Calibri" w:hAnsi="Arial Narrow" w:cs="Calibri"/>
          <w:b/>
          <w:bCs/>
          <w:sz w:val="22"/>
          <w:szCs w:val="22"/>
          <w:u w:val="single"/>
        </w:rPr>
        <w:t>Les objectifs principaux de ce document sont les suivants :</w:t>
      </w:r>
    </w:p>
    <w:p w14:paraId="42D70E36" w14:textId="77777777" w:rsidR="00204994" w:rsidRPr="00204994" w:rsidRDefault="00204994" w:rsidP="00204994"/>
    <w:p w14:paraId="4F48FE17" w14:textId="77777777" w:rsidR="00204994" w:rsidRPr="00204994" w:rsidRDefault="00204994" w:rsidP="00204994">
      <w:pPr>
        <w:tabs>
          <w:tab w:val="left" w:pos="3720"/>
        </w:tabs>
        <w:jc w:val="both"/>
        <w:rPr>
          <w:rFonts w:ascii="Arial Narrow" w:hAnsi="Arial Narrow" w:cs="Arial"/>
          <w:sz w:val="22"/>
          <w:szCs w:val="22"/>
        </w:rPr>
      </w:pPr>
      <w:r w:rsidRPr="00204994">
        <w:rPr>
          <w:rFonts w:ascii="Arial Narrow" w:hAnsi="Arial Narrow" w:cs="Arial"/>
          <w:sz w:val="22"/>
          <w:szCs w:val="22"/>
        </w:rPr>
        <w:lastRenderedPageBreak/>
        <w:t xml:space="preserve">Dans l’objectif pour le SMPBA d’améliorer les conditions d’exploitation du réseau </w:t>
      </w:r>
      <w:proofErr w:type="spellStart"/>
      <w:r w:rsidRPr="00204994">
        <w:rPr>
          <w:rFonts w:ascii="Arial Narrow" w:hAnsi="Arial Narrow" w:cs="Arial"/>
          <w:sz w:val="22"/>
          <w:szCs w:val="22"/>
        </w:rPr>
        <w:t>Txik</w:t>
      </w:r>
      <w:proofErr w:type="spellEnd"/>
      <w:r w:rsidRPr="00204994">
        <w:rPr>
          <w:rFonts w:ascii="Arial Narrow" w:hAnsi="Arial Narrow" w:cs="Arial"/>
          <w:sz w:val="22"/>
          <w:szCs w:val="22"/>
        </w:rPr>
        <w:t xml:space="preserve"> </w:t>
      </w:r>
      <w:proofErr w:type="spellStart"/>
      <w:r w:rsidRPr="00204994">
        <w:rPr>
          <w:rFonts w:ascii="Arial Narrow" w:hAnsi="Arial Narrow" w:cs="Arial"/>
          <w:sz w:val="22"/>
          <w:szCs w:val="22"/>
        </w:rPr>
        <w:t>Txak</w:t>
      </w:r>
      <w:proofErr w:type="spellEnd"/>
      <w:r w:rsidRPr="00204994">
        <w:rPr>
          <w:rFonts w:ascii="Arial Narrow" w:hAnsi="Arial Narrow" w:cs="Arial"/>
          <w:sz w:val="22"/>
          <w:szCs w:val="22"/>
        </w:rPr>
        <w:t xml:space="preserve"> tout en permettant aux communes de voir l’aboutissement de leur projet, le référentiel tend à :</w:t>
      </w:r>
    </w:p>
    <w:p w14:paraId="3E489558" w14:textId="77777777" w:rsidR="00204994" w:rsidRPr="00204994" w:rsidRDefault="00204994" w:rsidP="00204994">
      <w:pPr>
        <w:tabs>
          <w:tab w:val="left" w:pos="3720"/>
        </w:tabs>
        <w:ind w:left="357"/>
        <w:jc w:val="both"/>
      </w:pPr>
    </w:p>
    <w:p w14:paraId="01961469" w14:textId="77777777" w:rsidR="00204994" w:rsidRPr="00204994" w:rsidRDefault="00204994" w:rsidP="00204994">
      <w:pPr>
        <w:numPr>
          <w:ilvl w:val="0"/>
          <w:numId w:val="4"/>
        </w:numPr>
        <w:spacing w:before="80"/>
        <w:contextualSpacing/>
        <w:jc w:val="both"/>
        <w:rPr>
          <w:rFonts w:ascii="Arial Narrow" w:hAnsi="Arial Narrow"/>
          <w:sz w:val="22"/>
          <w:szCs w:val="22"/>
        </w:rPr>
      </w:pPr>
      <w:r w:rsidRPr="00204994">
        <w:rPr>
          <w:rFonts w:ascii="Arial Narrow" w:hAnsi="Arial Narrow"/>
          <w:sz w:val="22"/>
          <w:szCs w:val="22"/>
        </w:rPr>
        <w:t>Contribuer à l’amélioration de la sécurité et du confort d’usage des piétons/voyageurs ;</w:t>
      </w:r>
    </w:p>
    <w:p w14:paraId="75999F89" w14:textId="77777777" w:rsidR="00204994" w:rsidRPr="00204994" w:rsidRDefault="00204994" w:rsidP="00204994">
      <w:pPr>
        <w:numPr>
          <w:ilvl w:val="0"/>
          <w:numId w:val="4"/>
        </w:numPr>
        <w:spacing w:before="80"/>
        <w:contextualSpacing/>
        <w:jc w:val="both"/>
        <w:rPr>
          <w:rFonts w:ascii="Arial Narrow" w:hAnsi="Arial Narrow"/>
          <w:sz w:val="22"/>
          <w:szCs w:val="22"/>
        </w:rPr>
      </w:pPr>
      <w:r w:rsidRPr="00204994">
        <w:rPr>
          <w:rFonts w:ascii="Arial Narrow" w:hAnsi="Arial Narrow"/>
          <w:sz w:val="22"/>
          <w:szCs w:val="22"/>
        </w:rPr>
        <w:t>Encourager la mise en conformité accessibilité des points d’arrêts (via les subventions SMPBA prévues à cet effet) ;</w:t>
      </w:r>
    </w:p>
    <w:p w14:paraId="218A4F19" w14:textId="77777777" w:rsidR="00204994" w:rsidRPr="00204994" w:rsidRDefault="00204994" w:rsidP="00204994">
      <w:pPr>
        <w:numPr>
          <w:ilvl w:val="0"/>
          <w:numId w:val="4"/>
        </w:numPr>
        <w:spacing w:before="80"/>
        <w:contextualSpacing/>
        <w:jc w:val="both"/>
        <w:rPr>
          <w:rFonts w:ascii="Arial Narrow" w:hAnsi="Arial Narrow"/>
          <w:sz w:val="22"/>
          <w:szCs w:val="22"/>
        </w:rPr>
      </w:pPr>
      <w:r w:rsidRPr="00204994">
        <w:rPr>
          <w:rFonts w:ascii="Arial Narrow" w:hAnsi="Arial Narrow"/>
          <w:sz w:val="22"/>
          <w:szCs w:val="22"/>
        </w:rPr>
        <w:t>Améliorer les conditions d’exploitation d’un point d’arrêt (manœuvre bus, niveau de service) ;</w:t>
      </w:r>
    </w:p>
    <w:p w14:paraId="5209288E" w14:textId="77777777" w:rsidR="00204994" w:rsidRPr="00204994" w:rsidRDefault="00204994" w:rsidP="00204994">
      <w:pPr>
        <w:numPr>
          <w:ilvl w:val="0"/>
          <w:numId w:val="4"/>
        </w:numPr>
        <w:spacing w:before="80"/>
        <w:contextualSpacing/>
        <w:jc w:val="both"/>
        <w:rPr>
          <w:rFonts w:ascii="Arial Narrow" w:hAnsi="Arial Narrow"/>
          <w:sz w:val="22"/>
          <w:szCs w:val="22"/>
        </w:rPr>
      </w:pPr>
      <w:r w:rsidRPr="00204994">
        <w:rPr>
          <w:rFonts w:ascii="Arial Narrow" w:hAnsi="Arial Narrow"/>
          <w:sz w:val="22"/>
          <w:szCs w:val="22"/>
        </w:rPr>
        <w:t>Favoriser les économies d’échelle ;</w:t>
      </w:r>
    </w:p>
    <w:p w14:paraId="4465AB73" w14:textId="77777777" w:rsidR="00204994" w:rsidRPr="00204994" w:rsidRDefault="00204994" w:rsidP="00204994">
      <w:pPr>
        <w:numPr>
          <w:ilvl w:val="0"/>
          <w:numId w:val="4"/>
        </w:numPr>
        <w:spacing w:before="80"/>
        <w:contextualSpacing/>
        <w:jc w:val="both"/>
        <w:rPr>
          <w:rFonts w:ascii="Arial Narrow" w:hAnsi="Arial Narrow"/>
          <w:sz w:val="22"/>
          <w:szCs w:val="22"/>
        </w:rPr>
      </w:pPr>
      <w:r w:rsidRPr="00204994">
        <w:rPr>
          <w:rFonts w:ascii="Arial Narrow" w:hAnsi="Arial Narrow"/>
          <w:sz w:val="22"/>
          <w:szCs w:val="22"/>
        </w:rPr>
        <w:t>Permettre aux communes (services techniques), mais aussi aux professionnels du territoire (maîtres d’œuvre, entreprises TP), d’appréhender dès la conception les principes d’aménagement des points d’arrêt du SMPBA ;</w:t>
      </w:r>
    </w:p>
    <w:p w14:paraId="0B6F28C8" w14:textId="77777777" w:rsidR="00204994" w:rsidRPr="00204994" w:rsidRDefault="00204994" w:rsidP="00204994">
      <w:pPr>
        <w:numPr>
          <w:ilvl w:val="0"/>
          <w:numId w:val="4"/>
        </w:numPr>
        <w:spacing w:before="80"/>
        <w:contextualSpacing/>
        <w:jc w:val="both"/>
        <w:rPr>
          <w:rFonts w:ascii="Arial Narrow" w:hAnsi="Arial Narrow"/>
          <w:sz w:val="22"/>
          <w:szCs w:val="22"/>
        </w:rPr>
      </w:pPr>
      <w:r w:rsidRPr="00204994">
        <w:rPr>
          <w:rFonts w:ascii="Arial Narrow" w:hAnsi="Arial Narrow"/>
          <w:sz w:val="22"/>
          <w:szCs w:val="22"/>
        </w:rPr>
        <w:t>Faciliter les mises en œuvre ;</w:t>
      </w:r>
    </w:p>
    <w:p w14:paraId="427C3781" w14:textId="77777777" w:rsidR="00204994" w:rsidRPr="00204994" w:rsidRDefault="00204994" w:rsidP="00204994">
      <w:pPr>
        <w:numPr>
          <w:ilvl w:val="0"/>
          <w:numId w:val="4"/>
        </w:numPr>
        <w:spacing w:before="80"/>
        <w:contextualSpacing/>
        <w:jc w:val="both"/>
        <w:rPr>
          <w:rFonts w:ascii="Arial Narrow" w:hAnsi="Arial Narrow"/>
          <w:sz w:val="22"/>
          <w:szCs w:val="22"/>
        </w:rPr>
      </w:pPr>
      <w:r w:rsidRPr="00204994">
        <w:rPr>
          <w:rFonts w:ascii="Arial Narrow" w:hAnsi="Arial Narrow"/>
          <w:sz w:val="22"/>
          <w:szCs w:val="22"/>
        </w:rPr>
        <w:t>Rationaliser les plans de formation du personnel ;</w:t>
      </w:r>
    </w:p>
    <w:p w14:paraId="326A2834" w14:textId="77777777" w:rsidR="00204994" w:rsidRPr="00204994" w:rsidRDefault="00204994" w:rsidP="00204994">
      <w:pPr>
        <w:numPr>
          <w:ilvl w:val="0"/>
          <w:numId w:val="4"/>
        </w:numPr>
        <w:tabs>
          <w:tab w:val="left" w:pos="3720"/>
        </w:tabs>
        <w:spacing w:before="120"/>
        <w:contextualSpacing/>
        <w:jc w:val="both"/>
        <w:rPr>
          <w:rFonts w:ascii="Arial Narrow" w:hAnsi="Arial Narrow" w:cs="Arial"/>
          <w:sz w:val="22"/>
          <w:szCs w:val="22"/>
        </w:rPr>
      </w:pPr>
      <w:r w:rsidRPr="00204994">
        <w:rPr>
          <w:rFonts w:ascii="Arial Narrow" w:hAnsi="Arial Narrow"/>
          <w:sz w:val="22"/>
          <w:szCs w:val="22"/>
        </w:rPr>
        <w:t>Rappeler la procédure de validation d’un projet par le SMPBA.</w:t>
      </w:r>
      <w:r w:rsidRPr="00204994">
        <w:rPr>
          <w:rFonts w:ascii="Arial Narrow" w:hAnsi="Arial Narrow" w:cs="Arial"/>
          <w:sz w:val="22"/>
          <w:szCs w:val="22"/>
        </w:rPr>
        <w:t xml:space="preserve"> </w:t>
      </w:r>
    </w:p>
    <w:p w14:paraId="4FC4E963" w14:textId="77777777" w:rsidR="00204994" w:rsidRPr="00204994" w:rsidRDefault="00204994" w:rsidP="00204994">
      <w:pPr>
        <w:keepNext/>
        <w:spacing w:before="480" w:line="276" w:lineRule="auto"/>
        <w:jc w:val="both"/>
        <w:outlineLvl w:val="2"/>
        <w:rPr>
          <w:rFonts w:ascii="Arial Narrow" w:eastAsia="Calibri" w:hAnsi="Arial Narrow" w:cs="Calibri"/>
          <w:b/>
          <w:bCs/>
          <w:sz w:val="22"/>
          <w:szCs w:val="22"/>
          <w:u w:val="single"/>
        </w:rPr>
      </w:pPr>
      <w:r w:rsidRPr="00204994">
        <w:rPr>
          <w:rFonts w:ascii="Arial Narrow" w:eastAsia="Calibri" w:hAnsi="Arial Narrow" w:cs="Calibri"/>
          <w:b/>
          <w:bCs/>
          <w:sz w:val="22"/>
          <w:szCs w:val="22"/>
          <w:u w:val="single"/>
        </w:rPr>
        <w:t>Périmètre :</w:t>
      </w:r>
    </w:p>
    <w:p w14:paraId="503A680F" w14:textId="77777777" w:rsidR="00204994" w:rsidRPr="00204994" w:rsidRDefault="00204994" w:rsidP="00204994">
      <w:pPr>
        <w:spacing w:before="120"/>
        <w:jc w:val="both"/>
        <w:rPr>
          <w:rFonts w:ascii="Arial Narrow" w:eastAsia="Calibri" w:hAnsi="Arial Narrow"/>
          <w:sz w:val="22"/>
          <w:szCs w:val="22"/>
        </w:rPr>
      </w:pPr>
      <w:r w:rsidRPr="00204994">
        <w:rPr>
          <w:rFonts w:ascii="Arial Narrow" w:eastAsia="Calibri" w:hAnsi="Arial Narrow"/>
          <w:sz w:val="22"/>
          <w:szCs w:val="22"/>
        </w:rPr>
        <w:t xml:space="preserve">Le référentiel s’applique sur l’ensemble du réseau </w:t>
      </w:r>
      <w:proofErr w:type="spellStart"/>
      <w:r w:rsidRPr="00204994">
        <w:rPr>
          <w:rFonts w:ascii="Arial Narrow" w:eastAsia="Calibri" w:hAnsi="Arial Narrow" w:cs="Calibri"/>
          <w:sz w:val="22"/>
          <w:szCs w:val="22"/>
        </w:rPr>
        <w:t>Txik</w:t>
      </w:r>
      <w:proofErr w:type="spellEnd"/>
      <w:r w:rsidRPr="00204994">
        <w:rPr>
          <w:rFonts w:ascii="Arial Narrow" w:eastAsia="Calibri" w:hAnsi="Arial Narrow" w:cs="Calibri"/>
          <w:sz w:val="22"/>
          <w:szCs w:val="22"/>
        </w:rPr>
        <w:t xml:space="preserve"> </w:t>
      </w:r>
      <w:proofErr w:type="spellStart"/>
      <w:r w:rsidRPr="00204994">
        <w:rPr>
          <w:rFonts w:ascii="Arial Narrow" w:eastAsia="Calibri" w:hAnsi="Arial Narrow" w:cs="Calibri"/>
          <w:sz w:val="22"/>
          <w:szCs w:val="22"/>
        </w:rPr>
        <w:t>Txak</w:t>
      </w:r>
      <w:proofErr w:type="spellEnd"/>
      <w:r w:rsidRPr="00204994">
        <w:rPr>
          <w:rFonts w:ascii="Arial Narrow" w:eastAsia="Calibri" w:hAnsi="Arial Narrow" w:cs="Calibri"/>
          <w:sz w:val="22"/>
          <w:szCs w:val="22"/>
        </w:rPr>
        <w:t xml:space="preserve"> du</w:t>
      </w:r>
      <w:r w:rsidRPr="00204994">
        <w:rPr>
          <w:rFonts w:ascii="Arial Narrow" w:eastAsia="Calibri" w:hAnsi="Arial Narrow"/>
          <w:sz w:val="22"/>
          <w:szCs w:val="22"/>
        </w:rPr>
        <w:t xml:space="preserve"> Syndicat des Mobilités Pays Basque-Adour, quels que soient les services :</w:t>
      </w:r>
    </w:p>
    <w:p w14:paraId="6BB6F345" w14:textId="77777777" w:rsidR="00204994" w:rsidRPr="00204994" w:rsidRDefault="00204994" w:rsidP="00204994">
      <w:pPr>
        <w:numPr>
          <w:ilvl w:val="0"/>
          <w:numId w:val="5"/>
        </w:numPr>
        <w:ind w:left="714" w:hanging="357"/>
        <w:jc w:val="both"/>
        <w:rPr>
          <w:rFonts w:ascii="Arial Narrow" w:eastAsia="Calibri" w:hAnsi="Arial Narrow"/>
          <w:sz w:val="22"/>
          <w:szCs w:val="22"/>
        </w:rPr>
      </w:pPr>
      <w:r w:rsidRPr="00204994">
        <w:rPr>
          <w:rFonts w:ascii="Arial Narrow" w:eastAsia="Calibri" w:hAnsi="Arial Narrow"/>
          <w:sz w:val="22"/>
          <w:szCs w:val="22"/>
        </w:rPr>
        <w:t>Lors de travaux d’aménagement de la voirie,</w:t>
      </w:r>
    </w:p>
    <w:p w14:paraId="649F8684" w14:textId="77777777" w:rsidR="00204994" w:rsidRPr="00204994" w:rsidRDefault="00204994" w:rsidP="00204994">
      <w:pPr>
        <w:numPr>
          <w:ilvl w:val="0"/>
          <w:numId w:val="5"/>
        </w:numPr>
        <w:ind w:left="714" w:hanging="357"/>
        <w:jc w:val="both"/>
        <w:rPr>
          <w:rFonts w:ascii="Arial Narrow" w:eastAsia="Calibri" w:hAnsi="Arial Narrow"/>
          <w:sz w:val="22"/>
          <w:szCs w:val="22"/>
        </w:rPr>
      </w:pPr>
      <w:r w:rsidRPr="00204994">
        <w:rPr>
          <w:rFonts w:ascii="Arial Narrow" w:eastAsia="Calibri" w:hAnsi="Arial Narrow"/>
          <w:sz w:val="22"/>
          <w:szCs w:val="22"/>
        </w:rPr>
        <w:t xml:space="preserve">Lors de travaux liés au Schéma Directeur Agenda d’Accessibilité Programmée (SDAP) en vigueur sur le territoire. </w:t>
      </w:r>
    </w:p>
    <w:p w14:paraId="56F857E2" w14:textId="77777777" w:rsidR="00204994" w:rsidRPr="00204994" w:rsidRDefault="00204994" w:rsidP="00204994">
      <w:pPr>
        <w:tabs>
          <w:tab w:val="left" w:pos="3720"/>
        </w:tabs>
        <w:jc w:val="both"/>
        <w:rPr>
          <w:rFonts w:ascii="Arial Narrow" w:hAnsi="Arial Narrow" w:cs="Arial"/>
          <w:sz w:val="22"/>
          <w:szCs w:val="22"/>
        </w:rPr>
      </w:pPr>
    </w:p>
    <w:p w14:paraId="10506274" w14:textId="77777777" w:rsidR="00204994" w:rsidRPr="00204994" w:rsidRDefault="00204994" w:rsidP="00204994">
      <w:pPr>
        <w:tabs>
          <w:tab w:val="left" w:pos="3720"/>
        </w:tabs>
        <w:spacing w:before="120"/>
        <w:jc w:val="both"/>
        <w:rPr>
          <w:rFonts w:ascii="Arial Narrow" w:hAnsi="Arial Narrow" w:cs="Arial"/>
          <w:sz w:val="22"/>
          <w:szCs w:val="22"/>
        </w:rPr>
      </w:pPr>
      <w:r w:rsidRPr="00204994">
        <w:rPr>
          <w:rFonts w:ascii="Arial Narrow" w:hAnsi="Arial Narrow" w:cs="Arial"/>
          <w:sz w:val="22"/>
          <w:szCs w:val="22"/>
        </w:rPr>
        <w:t>Ce référentiel technique sera diffusé aux aménageurs et professionnels de son territoire (conception et réalisation) pour son application.</w:t>
      </w:r>
    </w:p>
    <w:p w14:paraId="76DDBE73" w14:textId="77777777" w:rsidR="00204994" w:rsidRPr="00204994" w:rsidRDefault="00204994" w:rsidP="00204994">
      <w:pPr>
        <w:tabs>
          <w:tab w:val="left" w:pos="3720"/>
        </w:tabs>
        <w:spacing w:before="120"/>
        <w:jc w:val="both"/>
        <w:rPr>
          <w:rFonts w:ascii="Arial Narrow" w:hAnsi="Arial Narrow" w:cs="Arial"/>
          <w:sz w:val="22"/>
          <w:szCs w:val="22"/>
        </w:rPr>
      </w:pPr>
      <w:r w:rsidRPr="00204994">
        <w:rPr>
          <w:rFonts w:ascii="Arial Narrow" w:hAnsi="Arial Narrow" w:cs="Arial"/>
          <w:sz w:val="22"/>
          <w:szCs w:val="22"/>
        </w:rPr>
        <w:t>Lors de l’instruction, à solliciter par les communes membres, le service infrastructures du SMPBA apportera le cas échéant une assistance technique aux aménageurs en vue de les accompagner pour adapter au mieux les prescriptions à chaque projet et selon son environnement.</w:t>
      </w:r>
    </w:p>
    <w:p w14:paraId="33E03877" w14:textId="77777777" w:rsidR="00204994" w:rsidRPr="00204994" w:rsidRDefault="00204994" w:rsidP="00204994">
      <w:pPr>
        <w:tabs>
          <w:tab w:val="left" w:pos="3720"/>
        </w:tabs>
        <w:jc w:val="both"/>
        <w:rPr>
          <w:rFonts w:ascii="Arial Narrow" w:eastAsia="Calibri" w:hAnsi="Arial Narrow" w:cs="Calibri"/>
          <w:b/>
          <w:bCs/>
          <w:sz w:val="22"/>
          <w:szCs w:val="22"/>
          <w:u w:val="single"/>
        </w:rPr>
      </w:pPr>
    </w:p>
    <w:p w14:paraId="3BE2FC48" w14:textId="77777777" w:rsidR="00204994" w:rsidRPr="00204994" w:rsidRDefault="00204994" w:rsidP="00204994">
      <w:pPr>
        <w:tabs>
          <w:tab w:val="left" w:pos="3720"/>
        </w:tabs>
        <w:jc w:val="both"/>
        <w:rPr>
          <w:rFonts w:ascii="Arial Narrow" w:eastAsia="Calibri" w:hAnsi="Arial Narrow" w:cs="Calibri"/>
          <w:b/>
          <w:bCs/>
          <w:sz w:val="22"/>
          <w:szCs w:val="22"/>
          <w:u w:val="single"/>
        </w:rPr>
      </w:pPr>
      <w:r w:rsidRPr="00204994">
        <w:rPr>
          <w:rFonts w:ascii="Arial Narrow" w:eastAsia="Calibri" w:hAnsi="Arial Narrow" w:cs="Calibri"/>
          <w:b/>
          <w:bCs/>
          <w:sz w:val="22"/>
          <w:szCs w:val="22"/>
          <w:u w:val="single"/>
        </w:rPr>
        <w:t>Évolution :</w:t>
      </w:r>
    </w:p>
    <w:p w14:paraId="0DF521D6" w14:textId="77777777" w:rsidR="00204994" w:rsidRPr="00204994" w:rsidRDefault="00204994" w:rsidP="00204994">
      <w:pPr>
        <w:spacing w:before="120"/>
        <w:jc w:val="both"/>
        <w:rPr>
          <w:rFonts w:ascii="Arial Narrow" w:eastAsia="Calibri" w:hAnsi="Arial Narrow"/>
          <w:sz w:val="22"/>
          <w:szCs w:val="22"/>
        </w:rPr>
      </w:pPr>
      <w:r w:rsidRPr="00204994">
        <w:rPr>
          <w:rFonts w:ascii="Arial Narrow" w:eastAsia="Calibri" w:hAnsi="Arial Narrow"/>
          <w:sz w:val="22"/>
          <w:szCs w:val="22"/>
        </w:rPr>
        <w:t>Le référentiel est composé de fiches techniques servant de référence pour chaque type d’aménagement. Chaque fiche pourra être mise à jour au fur et à mesure de l’évolution des textes réglementaires ou des progrès techniques ou encore des usages identifiés sur le terrain. La mise à jour se fera après concertation des parties concernées.</w:t>
      </w:r>
    </w:p>
    <w:p w14:paraId="101FD3C1" w14:textId="77777777" w:rsidR="00204994" w:rsidRPr="00204994" w:rsidRDefault="00204994" w:rsidP="00204994">
      <w:pPr>
        <w:tabs>
          <w:tab w:val="left" w:pos="3720"/>
        </w:tabs>
        <w:jc w:val="both"/>
        <w:rPr>
          <w:rFonts w:ascii="Arial Narrow" w:eastAsia="Calibri" w:hAnsi="Arial Narrow" w:cs="Calibri"/>
          <w:b/>
          <w:bCs/>
          <w:sz w:val="22"/>
          <w:szCs w:val="22"/>
          <w:u w:val="single"/>
        </w:rPr>
      </w:pPr>
    </w:p>
    <w:p w14:paraId="300B51C1" w14:textId="77777777" w:rsidR="00204994" w:rsidRPr="00204994" w:rsidRDefault="00204994" w:rsidP="00204994">
      <w:pPr>
        <w:tabs>
          <w:tab w:val="left" w:pos="3720"/>
        </w:tabs>
        <w:jc w:val="both"/>
        <w:rPr>
          <w:rFonts w:ascii="Arial Narrow" w:eastAsia="Calibri" w:hAnsi="Arial Narrow" w:cs="Calibri"/>
          <w:b/>
          <w:bCs/>
          <w:sz w:val="22"/>
          <w:szCs w:val="22"/>
          <w:u w:val="single"/>
        </w:rPr>
      </w:pPr>
      <w:r w:rsidRPr="00204994">
        <w:rPr>
          <w:rFonts w:ascii="Arial Narrow" w:eastAsia="Calibri" w:hAnsi="Arial Narrow" w:cs="Calibri"/>
          <w:sz w:val="22"/>
          <w:szCs w:val="22"/>
        </w:rPr>
        <w:t>Il est donc proposé au Comité Syndical d’adopter le référentiel technique d’aménagement des points d’arrêts de transports en commun ci-joint et à autoriser le Président à signer tout document permettant sa mise en œuvre.</w:t>
      </w:r>
      <w:r w:rsidRPr="00204994">
        <w:rPr>
          <w:rFonts w:ascii="Arial Narrow" w:eastAsia="Calibri" w:hAnsi="Arial Narrow" w:cs="Calibri"/>
          <w:b/>
          <w:bCs/>
          <w:sz w:val="22"/>
          <w:szCs w:val="22"/>
          <w:u w:val="single"/>
        </w:rPr>
        <w:t xml:space="preserve"> </w:t>
      </w:r>
    </w:p>
    <w:p w14:paraId="5E770DDA" w14:textId="77777777" w:rsidR="00C20D08" w:rsidRPr="00DD2F9B" w:rsidRDefault="00C20D08" w:rsidP="00216CA9">
      <w:pPr>
        <w:jc w:val="center"/>
        <w:rPr>
          <w:rFonts w:ascii="Arial Narrow" w:hAnsi="Arial Narrow" w:cs="Arial"/>
          <w:b/>
          <w:sz w:val="22"/>
          <w:szCs w:val="22"/>
        </w:rPr>
      </w:pPr>
    </w:p>
    <w:p w14:paraId="185B46F4" w14:textId="77777777" w:rsidR="00216CA9" w:rsidRPr="00DD2F9B" w:rsidRDefault="00216CA9" w:rsidP="00216CA9">
      <w:pPr>
        <w:jc w:val="center"/>
        <w:rPr>
          <w:rFonts w:ascii="Arial Narrow" w:hAnsi="Arial Narrow" w:cs="Arial"/>
          <w:b/>
          <w:sz w:val="22"/>
          <w:szCs w:val="22"/>
        </w:rPr>
      </w:pPr>
      <w:r w:rsidRPr="00DD2F9B">
        <w:rPr>
          <w:rFonts w:ascii="Arial Narrow" w:hAnsi="Arial Narrow" w:cs="Arial"/>
          <w:b/>
          <w:sz w:val="22"/>
          <w:szCs w:val="22"/>
        </w:rPr>
        <w:t>ADOPTE A L’UNANIMITE</w:t>
      </w:r>
    </w:p>
    <w:p w14:paraId="0AB71FEF" w14:textId="77777777" w:rsidR="00216CA9" w:rsidRPr="00DD2F9B" w:rsidRDefault="00216CA9" w:rsidP="00E234D3">
      <w:pPr>
        <w:rPr>
          <w:rFonts w:ascii="Arial Narrow" w:hAnsi="Arial Narrow" w:cs="Arial"/>
          <w:b/>
          <w:sz w:val="22"/>
          <w:szCs w:val="22"/>
        </w:rPr>
      </w:pPr>
    </w:p>
    <w:p w14:paraId="2E50C1E8" w14:textId="77777777" w:rsidR="00E234D3" w:rsidRPr="00905620" w:rsidRDefault="00E234D3" w:rsidP="00E234D3">
      <w:pPr>
        <w:tabs>
          <w:tab w:val="left" w:leader="underscore" w:pos="10065"/>
        </w:tabs>
        <w:ind w:left="-851" w:right="55"/>
        <w:jc w:val="both"/>
        <w:rPr>
          <w:rFonts w:ascii="Arial" w:hAnsi="Arial" w:cs="Arial"/>
          <w:sz w:val="22"/>
          <w:szCs w:val="22"/>
        </w:rPr>
      </w:pPr>
      <w:r w:rsidRPr="00905620">
        <w:rPr>
          <w:rFonts w:ascii="Arial" w:hAnsi="Arial" w:cs="Arial"/>
          <w:sz w:val="22"/>
          <w:szCs w:val="22"/>
        </w:rPr>
        <w:tab/>
      </w:r>
    </w:p>
    <w:p w14:paraId="6B2BBB75" w14:textId="77777777" w:rsidR="00E234D3" w:rsidRPr="00E234D3" w:rsidRDefault="00E234D3" w:rsidP="00E234D3">
      <w:pPr>
        <w:tabs>
          <w:tab w:val="left" w:pos="993"/>
        </w:tabs>
        <w:spacing w:before="120"/>
        <w:rPr>
          <w:rFonts w:ascii="Times New Roman" w:hAnsi="Times New Roman"/>
          <w:i/>
          <w:iCs/>
          <w:sz w:val="20"/>
          <w:szCs w:val="20"/>
        </w:rPr>
      </w:pPr>
      <w:r w:rsidRPr="00E234D3">
        <w:rPr>
          <w:rFonts w:ascii="Times New Roman" w:hAnsi="Times New Roman"/>
          <w:i/>
          <w:iCs/>
          <w:sz w:val="20"/>
          <w:szCs w:val="20"/>
        </w:rPr>
        <w:t>Fait et délibéré en séance les jours, mois et an que dessus, et le présent extrait certifié conforme au registre.</w:t>
      </w:r>
    </w:p>
    <w:p w14:paraId="07C3555B" w14:textId="77777777" w:rsidR="00E234D3" w:rsidRPr="00E234D3" w:rsidRDefault="00E234D3" w:rsidP="00E234D3">
      <w:pPr>
        <w:tabs>
          <w:tab w:val="left" w:pos="1260"/>
          <w:tab w:val="left" w:pos="6804"/>
        </w:tabs>
        <w:spacing w:before="60"/>
        <w:rPr>
          <w:rFonts w:ascii="Times New Roman" w:hAnsi="Times New Roman"/>
          <w:i/>
          <w:iCs/>
          <w:sz w:val="20"/>
          <w:szCs w:val="20"/>
        </w:rPr>
      </w:pPr>
      <w:r w:rsidRPr="00E234D3">
        <w:rPr>
          <w:rFonts w:ascii="Times New Roman" w:hAnsi="Times New Roman"/>
          <w:i/>
          <w:iCs/>
          <w:sz w:val="20"/>
          <w:szCs w:val="20"/>
        </w:rPr>
        <w:t>Ce</w:t>
      </w:r>
      <w:r w:rsidR="00DD2F9B">
        <w:rPr>
          <w:rFonts w:ascii="Times New Roman" w:hAnsi="Times New Roman"/>
          <w:i/>
          <w:iCs/>
          <w:sz w:val="20"/>
          <w:szCs w:val="20"/>
        </w:rPr>
        <w:t>rtifié exécutoire.</w:t>
      </w:r>
      <w:r w:rsidR="00DD2F9B">
        <w:rPr>
          <w:rFonts w:ascii="Times New Roman" w:hAnsi="Times New Roman"/>
          <w:i/>
          <w:iCs/>
          <w:sz w:val="20"/>
          <w:szCs w:val="20"/>
        </w:rPr>
        <w:tab/>
        <w:t>Le Président,</w:t>
      </w:r>
    </w:p>
    <w:p w14:paraId="6BAE37D5" w14:textId="77777777" w:rsidR="00E234D3" w:rsidRPr="00E234D3" w:rsidRDefault="00E234D3" w:rsidP="00E234D3">
      <w:pPr>
        <w:tabs>
          <w:tab w:val="left" w:pos="1260"/>
          <w:tab w:val="left" w:pos="7088"/>
        </w:tabs>
        <w:spacing w:before="60"/>
        <w:rPr>
          <w:rFonts w:ascii="Times New Roman" w:hAnsi="Times New Roman"/>
          <w:i/>
          <w:iCs/>
          <w:sz w:val="20"/>
          <w:szCs w:val="20"/>
        </w:rPr>
      </w:pPr>
      <w:r w:rsidRPr="00E234D3">
        <w:rPr>
          <w:rFonts w:ascii="Times New Roman" w:hAnsi="Times New Roman"/>
          <w:i/>
          <w:iCs/>
          <w:sz w:val="20"/>
          <w:szCs w:val="20"/>
        </w:rPr>
        <w:t xml:space="preserve">Transmis à la Sous-Préfecture </w:t>
      </w:r>
      <w:r w:rsidRPr="00E234D3">
        <w:rPr>
          <w:rFonts w:ascii="Times New Roman" w:hAnsi="Times New Roman"/>
          <w:i/>
          <w:iCs/>
          <w:sz w:val="20"/>
          <w:szCs w:val="20"/>
        </w:rPr>
        <w:tab/>
      </w:r>
    </w:p>
    <w:p w14:paraId="15A0D3ED" w14:textId="77777777" w:rsidR="00E234D3" w:rsidRPr="00E234D3" w:rsidRDefault="00E234D3" w:rsidP="00E234D3">
      <w:pPr>
        <w:tabs>
          <w:tab w:val="left" w:pos="1260"/>
        </w:tabs>
        <w:spacing w:before="60"/>
        <w:rPr>
          <w:rFonts w:ascii="Times New Roman" w:hAnsi="Times New Roman"/>
          <w:i/>
          <w:iCs/>
          <w:sz w:val="20"/>
          <w:szCs w:val="20"/>
        </w:rPr>
      </w:pPr>
      <w:r w:rsidRPr="00E234D3">
        <w:rPr>
          <w:rFonts w:ascii="Times New Roman" w:hAnsi="Times New Roman"/>
          <w:i/>
          <w:iCs/>
          <w:sz w:val="20"/>
          <w:szCs w:val="20"/>
        </w:rPr>
        <w:t>De Bayonne le …………………….</w:t>
      </w:r>
    </w:p>
    <w:p w14:paraId="55EEF427" w14:textId="77777777" w:rsidR="00E234D3" w:rsidRPr="00E234D3" w:rsidRDefault="00E234D3" w:rsidP="00CF22FC">
      <w:pPr>
        <w:tabs>
          <w:tab w:val="left" w:pos="1260"/>
          <w:tab w:val="left" w:pos="6804"/>
        </w:tabs>
        <w:spacing w:before="60"/>
        <w:rPr>
          <w:rFonts w:ascii="Times New Roman" w:hAnsi="Times New Roman"/>
          <w:i/>
          <w:iCs/>
          <w:sz w:val="20"/>
          <w:szCs w:val="20"/>
        </w:rPr>
      </w:pPr>
      <w:r w:rsidRPr="00E234D3">
        <w:rPr>
          <w:rFonts w:ascii="Times New Roman" w:hAnsi="Times New Roman"/>
          <w:i/>
          <w:iCs/>
          <w:sz w:val="20"/>
          <w:szCs w:val="20"/>
        </w:rPr>
        <w:t>Affiché le …………………</w:t>
      </w:r>
      <w:r w:rsidRPr="00E234D3">
        <w:rPr>
          <w:rFonts w:ascii="Times New Roman" w:hAnsi="Times New Roman"/>
          <w:i/>
          <w:iCs/>
          <w:sz w:val="20"/>
          <w:szCs w:val="20"/>
        </w:rPr>
        <w:tab/>
      </w:r>
      <w:r w:rsidR="00920927">
        <w:rPr>
          <w:rFonts w:ascii="Times New Roman" w:hAnsi="Times New Roman"/>
          <w:i/>
          <w:iCs/>
          <w:sz w:val="20"/>
          <w:szCs w:val="20"/>
        </w:rPr>
        <w:t>Claude OLIVE</w:t>
      </w:r>
    </w:p>
    <w:p w14:paraId="4B1959D4" w14:textId="77777777" w:rsidR="00E234D3" w:rsidRPr="00E234D3" w:rsidRDefault="00E234D3" w:rsidP="00E234D3">
      <w:pPr>
        <w:tabs>
          <w:tab w:val="left" w:leader="underscore" w:pos="10065"/>
        </w:tabs>
        <w:ind w:left="-851" w:right="55"/>
        <w:jc w:val="both"/>
        <w:rPr>
          <w:rFonts w:ascii="Times New Roman" w:hAnsi="Times New Roman"/>
          <w:sz w:val="20"/>
          <w:szCs w:val="20"/>
          <w:u w:val="thick"/>
        </w:rPr>
      </w:pPr>
      <w:r w:rsidRPr="00E234D3">
        <w:rPr>
          <w:rFonts w:ascii="Times New Roman" w:hAnsi="Times New Roman"/>
          <w:sz w:val="20"/>
          <w:szCs w:val="20"/>
          <w:u w:val="thick"/>
        </w:rPr>
        <w:tab/>
      </w:r>
    </w:p>
    <w:sectPr w:rsidR="00E234D3" w:rsidRPr="00E234D3" w:rsidSect="00EA6C8B">
      <w:headerReference w:type="even" r:id="rId8"/>
      <w:headerReference w:type="default" r:id="rId9"/>
      <w:footerReference w:type="default" r:id="rId10"/>
      <w:pgSz w:w="11900" w:h="16840" w:code="9"/>
      <w:pgMar w:top="851" w:right="1418" w:bottom="1134" w:left="1418" w:header="1814"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56115" w14:textId="77777777" w:rsidR="00B778A5" w:rsidRDefault="00B778A5" w:rsidP="00426E4E">
      <w:r>
        <w:separator/>
      </w:r>
    </w:p>
  </w:endnote>
  <w:endnote w:type="continuationSeparator" w:id="0">
    <w:p w14:paraId="1BAE4CA7" w14:textId="77777777" w:rsidR="00B778A5" w:rsidRDefault="00B778A5" w:rsidP="0042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9BC24" w14:textId="77777777" w:rsidR="00426E4E" w:rsidRDefault="00A748C4">
    <w:pPr>
      <w:pStyle w:val="Pieddepage"/>
    </w:pPr>
    <w:r>
      <w:rPr>
        <w:noProof/>
        <w:lang w:eastAsia="fr-FR"/>
      </w:rPr>
      <mc:AlternateContent>
        <mc:Choice Requires="wps">
          <w:drawing>
            <wp:anchor distT="0" distB="0" distL="114300" distR="114300" simplePos="0" relativeHeight="251657216" behindDoc="0" locked="0" layoutInCell="1" allowOverlap="1" wp14:anchorId="3C25053D" wp14:editId="7346C375">
              <wp:simplePos x="0" y="0"/>
              <wp:positionH relativeFrom="column">
                <wp:posOffset>-427355</wp:posOffset>
              </wp:positionH>
              <wp:positionV relativeFrom="paragraph">
                <wp:posOffset>-143510</wp:posOffset>
              </wp:positionV>
              <wp:extent cx="685800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55896" w14:textId="77777777" w:rsidR="00426E4E" w:rsidRPr="00120DF8" w:rsidRDefault="00DD2F9B" w:rsidP="00120DF8">
                          <w:pPr>
                            <w:pBdr>
                              <w:bottom w:val="single" w:sz="4" w:space="4" w:color="C2D69B"/>
                            </w:pBdr>
                            <w:jc w:val="center"/>
                            <w:rPr>
                              <w:rFonts w:ascii="Calibri" w:hAnsi="Calibri"/>
                              <w:sz w:val="18"/>
                            </w:rPr>
                          </w:pPr>
                          <w:r>
                            <w:rPr>
                              <w:rFonts w:ascii="Calibri" w:hAnsi="Calibri"/>
                              <w:sz w:val="18"/>
                            </w:rPr>
                            <w:t>SYNDICAT DES MOBILITES PAYS BASQUE-ADOUR</w:t>
                          </w:r>
                        </w:p>
                        <w:p w14:paraId="39E460B6" w14:textId="77777777" w:rsidR="00426E4E" w:rsidRPr="00120DF8" w:rsidRDefault="00426E4E" w:rsidP="00426E4E">
                          <w:pPr>
                            <w:jc w:val="center"/>
                            <w:rPr>
                              <w:rFonts w:ascii="Calibri" w:hAnsi="Calibri"/>
                              <w:sz w:val="10"/>
                            </w:rPr>
                          </w:pPr>
                        </w:p>
                        <w:p w14:paraId="095F0774" w14:textId="77777777" w:rsidR="00426E4E" w:rsidRPr="00120DF8" w:rsidRDefault="00426E4E" w:rsidP="00426E4E">
                          <w:pPr>
                            <w:jc w:val="center"/>
                            <w:rPr>
                              <w:rFonts w:ascii="Calibri" w:hAnsi="Calibri"/>
                              <w:sz w:val="18"/>
                            </w:rPr>
                          </w:pPr>
                          <w:r w:rsidRPr="00120DF8">
                            <w:rPr>
                              <w:rFonts w:ascii="Calibri" w:hAnsi="Calibri"/>
                              <w:sz w:val="18"/>
                            </w:rPr>
                            <w:t>15, avenue Foch – CS88507 – 64185 BAYO</w:t>
                          </w:r>
                          <w:r w:rsidR="009A0910">
                            <w:rPr>
                              <w:rFonts w:ascii="Calibri" w:hAnsi="Calibri"/>
                              <w:sz w:val="18"/>
                            </w:rPr>
                            <w:t>NNE CEDEX – Tel : 05 59 44 74 88</w:t>
                          </w:r>
                        </w:p>
                        <w:p w14:paraId="1DAD9EBF" w14:textId="77777777" w:rsidR="00426E4E" w:rsidRPr="00120DF8" w:rsidRDefault="00426E4E" w:rsidP="00426E4E">
                          <w:pPr>
                            <w:jc w:val="center"/>
                            <w:rPr>
                              <w:rFonts w:ascii="Calibri" w:hAnsi="Calibri"/>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25053D" id="_x0000_t202" coordsize="21600,21600" o:spt="202" path="m,l,21600r21600,l21600,xe">
              <v:stroke joinstyle="miter"/>
              <v:path gradientshapeok="t" o:connecttype="rect"/>
            </v:shapetype>
            <v:shape id="Text Box 1" o:spid="_x0000_s1026" type="#_x0000_t202" style="position:absolute;margin-left:-33.65pt;margin-top:-11.3pt;width:5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" filled="f" stroked="f">
              <v:textbox inset=",7.2pt,,7.2pt">
                <w:txbxContent>
                  <w:p w14:paraId="7CC55896" w14:textId="77777777" w:rsidR="00426E4E" w:rsidRPr="00120DF8" w:rsidRDefault="00DD2F9B" w:rsidP="00120DF8">
                    <w:pPr>
                      <w:pBdr>
                        <w:bottom w:val="single" w:sz="4" w:space="4" w:color="C2D69B"/>
                      </w:pBdr>
                      <w:jc w:val="center"/>
                      <w:rPr>
                        <w:rFonts w:ascii="Calibri" w:hAnsi="Calibri"/>
                        <w:sz w:val="18"/>
                      </w:rPr>
                    </w:pPr>
                    <w:r>
                      <w:rPr>
                        <w:rFonts w:ascii="Calibri" w:hAnsi="Calibri"/>
                        <w:sz w:val="18"/>
                      </w:rPr>
                      <w:t>SYNDICAT DES MOBILITES PAYS BASQUE-ADOUR</w:t>
                    </w:r>
                  </w:p>
                  <w:p w14:paraId="39E460B6" w14:textId="77777777" w:rsidR="00426E4E" w:rsidRPr="00120DF8" w:rsidRDefault="00426E4E" w:rsidP="00426E4E">
                    <w:pPr>
                      <w:jc w:val="center"/>
                      <w:rPr>
                        <w:rFonts w:ascii="Calibri" w:hAnsi="Calibri"/>
                        <w:sz w:val="10"/>
                      </w:rPr>
                    </w:pPr>
                  </w:p>
                  <w:p w14:paraId="095F0774" w14:textId="77777777" w:rsidR="00426E4E" w:rsidRPr="00120DF8" w:rsidRDefault="00426E4E" w:rsidP="00426E4E">
                    <w:pPr>
                      <w:jc w:val="center"/>
                      <w:rPr>
                        <w:rFonts w:ascii="Calibri" w:hAnsi="Calibri"/>
                        <w:sz w:val="18"/>
                      </w:rPr>
                    </w:pPr>
                    <w:r w:rsidRPr="00120DF8">
                      <w:rPr>
                        <w:rFonts w:ascii="Calibri" w:hAnsi="Calibri"/>
                        <w:sz w:val="18"/>
                      </w:rPr>
                      <w:t>15, avenue Foch – CS88507 – 64185 BAYO</w:t>
                    </w:r>
                    <w:r w:rsidR="009A0910">
                      <w:rPr>
                        <w:rFonts w:ascii="Calibri" w:hAnsi="Calibri"/>
                        <w:sz w:val="18"/>
                      </w:rPr>
                      <w:t>NNE CEDEX – Tel : 05 59 44 74 88</w:t>
                    </w:r>
                  </w:p>
                  <w:p w14:paraId="1DAD9EBF" w14:textId="77777777" w:rsidR="00426E4E" w:rsidRPr="00120DF8" w:rsidRDefault="00426E4E" w:rsidP="00426E4E">
                    <w:pPr>
                      <w:jc w:val="center"/>
                      <w:rPr>
                        <w:rFonts w:ascii="Calibri" w:hAnsi="Calibri"/>
                        <w:sz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7F5CE" w14:textId="77777777" w:rsidR="00B778A5" w:rsidRDefault="00B778A5" w:rsidP="00426E4E">
      <w:r>
        <w:separator/>
      </w:r>
    </w:p>
  </w:footnote>
  <w:footnote w:type="continuationSeparator" w:id="0">
    <w:p w14:paraId="3CB773FB" w14:textId="77777777" w:rsidR="00B778A5" w:rsidRDefault="00B778A5" w:rsidP="00426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E3FE6" w14:textId="77777777" w:rsidR="00426E4E" w:rsidRDefault="00426E4E">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E3AD2" w14:textId="77777777" w:rsidR="00426E4E" w:rsidRDefault="00A748C4" w:rsidP="00426E4E">
    <w:pPr>
      <w:ind w:left="1416" w:firstLine="708"/>
      <w:rPr>
        <w:b/>
      </w:rPr>
    </w:pPr>
    <w:r>
      <w:rPr>
        <w:noProof/>
        <w:lang w:eastAsia="fr-FR"/>
      </w:rPr>
      <w:drawing>
        <wp:anchor distT="0" distB="0" distL="114300" distR="114300" simplePos="0" relativeHeight="251658240" behindDoc="0" locked="0" layoutInCell="1" allowOverlap="1" wp14:anchorId="6C46AF05" wp14:editId="6EB54BAC">
          <wp:simplePos x="0" y="0"/>
          <wp:positionH relativeFrom="column">
            <wp:posOffset>-207010</wp:posOffset>
          </wp:positionH>
          <wp:positionV relativeFrom="paragraph">
            <wp:posOffset>-702310</wp:posOffset>
          </wp:positionV>
          <wp:extent cx="838200" cy="838200"/>
          <wp:effectExtent l="0" t="0" r="0" b="0"/>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6E4E" w:rsidRPr="00E234D3">
      <w:rPr>
        <w:b/>
      </w:rPr>
      <w:t>EXTRAIT DU REGISTRE DES DELIBERATIONS</w:t>
    </w:r>
  </w:p>
  <w:p w14:paraId="1A136541" w14:textId="77777777" w:rsidR="000A243C" w:rsidRDefault="000A243C" w:rsidP="00426E4E">
    <w:pPr>
      <w:ind w:left="1416" w:firstLine="708"/>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62142"/>
    <w:multiLevelType w:val="hybridMultilevel"/>
    <w:tmpl w:val="D4CA096E"/>
    <w:lvl w:ilvl="0" w:tplc="30B2A07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F120A"/>
    <w:multiLevelType w:val="hybridMultilevel"/>
    <w:tmpl w:val="83803006"/>
    <w:lvl w:ilvl="0" w:tplc="F4C4A38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7C7AE8"/>
    <w:multiLevelType w:val="hybridMultilevel"/>
    <w:tmpl w:val="2B34F214"/>
    <w:lvl w:ilvl="0" w:tplc="64269AF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FE956FA"/>
    <w:multiLevelType w:val="hybridMultilevel"/>
    <w:tmpl w:val="0E9859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56452"/>
    <w:multiLevelType w:val="hybridMultilevel"/>
    <w:tmpl w:val="124EB8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8A5"/>
    <w:rsid w:val="000A243C"/>
    <w:rsid w:val="001100C4"/>
    <w:rsid w:val="00120DF8"/>
    <w:rsid w:val="001212F1"/>
    <w:rsid w:val="0019570C"/>
    <w:rsid w:val="001C6499"/>
    <w:rsid w:val="001E21D5"/>
    <w:rsid w:val="00204994"/>
    <w:rsid w:val="00216CA9"/>
    <w:rsid w:val="00246D1C"/>
    <w:rsid w:val="002A29F6"/>
    <w:rsid w:val="002B71A8"/>
    <w:rsid w:val="002D2D62"/>
    <w:rsid w:val="002D4CA2"/>
    <w:rsid w:val="00331EEC"/>
    <w:rsid w:val="003A3F7E"/>
    <w:rsid w:val="00402B7A"/>
    <w:rsid w:val="00426E4E"/>
    <w:rsid w:val="005849AF"/>
    <w:rsid w:val="005B21B6"/>
    <w:rsid w:val="005F262E"/>
    <w:rsid w:val="00622EF4"/>
    <w:rsid w:val="006D6EB5"/>
    <w:rsid w:val="00770F3D"/>
    <w:rsid w:val="0079450C"/>
    <w:rsid w:val="008C4B48"/>
    <w:rsid w:val="009055A3"/>
    <w:rsid w:val="00905620"/>
    <w:rsid w:val="00920927"/>
    <w:rsid w:val="0099356C"/>
    <w:rsid w:val="009A0910"/>
    <w:rsid w:val="009D0BF2"/>
    <w:rsid w:val="00A2586A"/>
    <w:rsid w:val="00A748C4"/>
    <w:rsid w:val="00AB50C7"/>
    <w:rsid w:val="00B24B57"/>
    <w:rsid w:val="00B6074D"/>
    <w:rsid w:val="00B778A5"/>
    <w:rsid w:val="00BA07AB"/>
    <w:rsid w:val="00BD412E"/>
    <w:rsid w:val="00BE218C"/>
    <w:rsid w:val="00C108E3"/>
    <w:rsid w:val="00C20D08"/>
    <w:rsid w:val="00CF22FC"/>
    <w:rsid w:val="00DD2F9B"/>
    <w:rsid w:val="00E234D3"/>
    <w:rsid w:val="00E3182A"/>
    <w:rsid w:val="00E60B51"/>
    <w:rsid w:val="00EA6C8B"/>
    <w:rsid w:val="00FB75D8"/>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BEF98A"/>
  <w15:chartTrackingRefBased/>
  <w15:docId w15:val="{13670789-0DD8-45B6-BAE5-63D3ED8B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5BD"/>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2A29F6"/>
    <w:pPr>
      <w:spacing w:after="200" w:line="276" w:lineRule="auto"/>
      <w:ind w:left="720"/>
      <w:contextualSpacing/>
    </w:pPr>
    <w:rPr>
      <w:rFonts w:ascii="Calibri" w:eastAsia="Calibri" w:hAnsi="Calibri"/>
      <w:sz w:val="22"/>
      <w:szCs w:val="22"/>
    </w:rPr>
  </w:style>
  <w:style w:type="paragraph" w:styleId="En-tte">
    <w:name w:val="header"/>
    <w:basedOn w:val="Normal"/>
    <w:link w:val="En-tteCar"/>
    <w:uiPriority w:val="99"/>
    <w:unhideWhenUsed/>
    <w:rsid w:val="00426E4E"/>
    <w:pPr>
      <w:tabs>
        <w:tab w:val="center" w:pos="4536"/>
        <w:tab w:val="right" w:pos="9072"/>
      </w:tabs>
    </w:pPr>
  </w:style>
  <w:style w:type="character" w:customStyle="1" w:styleId="En-tteCar">
    <w:name w:val="En-tête Car"/>
    <w:basedOn w:val="Policepardfaut"/>
    <w:link w:val="En-tte"/>
    <w:uiPriority w:val="99"/>
    <w:rsid w:val="00426E4E"/>
  </w:style>
  <w:style w:type="paragraph" w:styleId="Pieddepage">
    <w:name w:val="footer"/>
    <w:basedOn w:val="Normal"/>
    <w:link w:val="PieddepageCar"/>
    <w:uiPriority w:val="99"/>
    <w:unhideWhenUsed/>
    <w:rsid w:val="00426E4E"/>
    <w:pPr>
      <w:tabs>
        <w:tab w:val="center" w:pos="4536"/>
        <w:tab w:val="right" w:pos="9072"/>
      </w:tabs>
    </w:pPr>
  </w:style>
  <w:style w:type="character" w:customStyle="1" w:styleId="PieddepageCar">
    <w:name w:val="Pied de page Car"/>
    <w:basedOn w:val="Policepardfaut"/>
    <w:link w:val="Pieddepage"/>
    <w:uiPriority w:val="99"/>
    <w:rsid w:val="00426E4E"/>
  </w:style>
  <w:style w:type="paragraph" w:styleId="Textedebulles">
    <w:name w:val="Balloon Text"/>
    <w:basedOn w:val="Normal"/>
    <w:link w:val="TextedebullesCar"/>
    <w:uiPriority w:val="99"/>
    <w:semiHidden/>
    <w:unhideWhenUsed/>
    <w:rsid w:val="00426E4E"/>
    <w:rPr>
      <w:rFonts w:ascii="Tahoma" w:hAnsi="Tahoma" w:cs="Tahoma"/>
      <w:sz w:val="16"/>
      <w:szCs w:val="16"/>
    </w:rPr>
  </w:style>
  <w:style w:type="character" w:customStyle="1" w:styleId="TextedebullesCar">
    <w:name w:val="Texte de bulles Car"/>
    <w:link w:val="Textedebulles"/>
    <w:uiPriority w:val="99"/>
    <w:semiHidden/>
    <w:rsid w:val="00426E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47902">
      <w:bodyDiv w:val="1"/>
      <w:marLeft w:val="0"/>
      <w:marRight w:val="0"/>
      <w:marTop w:val="0"/>
      <w:marBottom w:val="0"/>
      <w:divBdr>
        <w:top w:val="none" w:sz="0" w:space="0" w:color="auto"/>
        <w:left w:val="none" w:sz="0" w:space="0" w:color="auto"/>
        <w:bottom w:val="none" w:sz="0" w:space="0" w:color="auto"/>
        <w:right w:val="none" w:sz="0" w:space="0" w:color="auto"/>
      </w:divBdr>
    </w:div>
    <w:div w:id="1726025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52EB2-ADD4-4C16-B3FE-275E69C2E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4305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Syndicat des Transports de l'Agglomération Côte basqu</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Moreda</dc:creator>
  <cp:keywords/>
  <cp:lastModifiedBy>l.cimolai</cp:lastModifiedBy>
  <cp:revision>3</cp:revision>
  <cp:lastPrinted>2020-02-11T07:35:00Z</cp:lastPrinted>
  <dcterms:created xsi:type="dcterms:W3CDTF">2020-02-07T09:54:00Z</dcterms:created>
  <dcterms:modified xsi:type="dcterms:W3CDTF">2020-02-11T07:35:00Z</dcterms:modified>
</cp:coreProperties>
</file>